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18" w:rsidRPr="00335FE8" w:rsidRDefault="00880454" w:rsidP="006A53E7">
      <w:pPr>
        <w:spacing w:line="420" w:lineRule="exact"/>
        <w:jc w:val="center"/>
        <w:rPr>
          <w:rFonts w:ascii="宋体" w:hAnsi="宋体" w:cs="Consolas"/>
          <w:b/>
          <w:iCs/>
          <w:kern w:val="0"/>
          <w:sz w:val="36"/>
          <w:szCs w:val="36"/>
        </w:rPr>
      </w:pPr>
      <w:bookmarkStart w:id="0" w:name="_GoBack"/>
      <w:bookmarkEnd w:id="0"/>
      <w:r>
        <w:rPr>
          <w:rFonts w:ascii="宋体" w:hAnsi="宋体" w:cs="Consolas" w:hint="eastAsia"/>
          <w:b/>
          <w:iCs/>
          <w:kern w:val="0"/>
          <w:sz w:val="36"/>
          <w:szCs w:val="36"/>
        </w:rPr>
        <w:t>银华裕利混合型发起式证券投资基金基金产品资料概要更新</w:t>
      </w:r>
    </w:p>
    <w:p w:rsidR="00880454" w:rsidRPr="00335FE8" w:rsidRDefault="00880454" w:rsidP="00880454">
      <w:pPr>
        <w:jc w:val="right"/>
        <w:rPr>
          <w:rFonts w:ascii="仿宋_GB2312" w:eastAsia="仿宋_GB2312" w:hAnsi="宋体" w:cs="宋体"/>
          <w:kern w:val="0"/>
          <w:szCs w:val="24"/>
        </w:rPr>
      </w:pPr>
      <w:r w:rsidRPr="00335FE8">
        <w:rPr>
          <w:rFonts w:ascii="方正仿宋简体" w:eastAsia="方正仿宋简体" w:hAnsi="方正仿宋简体" w:cs="方正仿宋简体" w:hint="eastAsia"/>
        </w:rPr>
        <w:t>编制日期：</w:t>
      </w:r>
      <w:r w:rsidR="006A53E7" w:rsidRPr="00335FE8">
        <w:rPr>
          <w:rFonts w:ascii="Times New Roman" w:eastAsia="Times New Roman" w:hAnsi="Times New Roman" w:cs="Times New Roman" w:hint="eastAsia"/>
          <w:kern w:val="0"/>
          <w:szCs w:val="24"/>
        </w:rPr>
        <w:t>2023-06-14</w:t>
      </w:r>
    </w:p>
    <w:p w:rsidR="00264C81" w:rsidRDefault="000F26EF" w:rsidP="00264C81">
      <w:pPr>
        <w:spacing w:line="380" w:lineRule="exact"/>
        <w:jc w:val="center"/>
        <w:rPr>
          <w:rFonts w:ascii="方正仿宋简体" w:hAnsi="方正仿宋简体" w:cs="方正仿宋简体"/>
          <w:b/>
          <w:iCs/>
          <w:szCs w:val="24"/>
        </w:rPr>
      </w:pPr>
      <w:r>
        <w:rPr>
          <w:rFonts w:ascii="方正仿宋简体" w:eastAsia="方正仿宋简体" w:hAnsi="方正仿宋简体" w:cs="方正仿宋简体" w:hint="eastAsia"/>
        </w:rPr>
        <w:t>送出日期：</w:t>
      </w:r>
      <w:r>
        <w:rPr>
          <w:rFonts w:ascii="Times New Roman" w:eastAsia="Times New Roman" w:hAnsi="Times New Roman" w:cs="Times New Roman" w:hint="eastAsia"/>
          <w:kern w:val="0"/>
          <w:szCs w:val="24"/>
        </w:rPr>
        <w:t>2023-07-10</w:t>
      </w:r>
      <w:r>
        <w:rPr>
          <w:rFonts w:ascii="方正仿宋简体" w:hAnsi="方正仿宋简体" w:cs="方正仿宋简体" w:hint="eastAsia"/>
          <w:b/>
          <w:iCs/>
          <w:szCs w:val="24"/>
        </w:rPr>
        <w:t xml:space="preserve"> </w:t>
      </w:r>
    </w:p>
    <w:p w:rsidR="00FB01B3" w:rsidRPr="00943B76" w:rsidRDefault="000F26EF" w:rsidP="0012633B">
      <w:pPr>
        <w:autoSpaceDE w:val="0"/>
        <w:autoSpaceDN w:val="0"/>
        <w:adjustRightInd w:val="0"/>
        <w:jc w:val="center"/>
        <w:rPr>
          <w:rFonts w:ascii="Consolas" w:hAnsi="Consolas" w:cs="Consolas" w:hint="eastAsia"/>
          <w:iCs/>
          <w:kern w:val="0"/>
          <w:sz w:val="21"/>
          <w:szCs w:val="21"/>
        </w:rPr>
      </w:pPr>
      <w:r w:rsidRPr="00943B76">
        <w:rPr>
          <w:rFonts w:ascii="Consolas" w:hAnsi="Consolas" w:cs="Consolas" w:hint="eastAsia"/>
          <w:iCs/>
          <w:kern w:val="0"/>
          <w:sz w:val="21"/>
          <w:szCs w:val="21"/>
        </w:rPr>
        <w:t>本概要提供本基金的重要信息，是招募说明书的一部分。</w:t>
      </w:r>
    </w:p>
    <w:p w:rsidR="00FB01B3" w:rsidRPr="00902991" w:rsidRDefault="000F26EF" w:rsidP="0012633B">
      <w:pPr>
        <w:autoSpaceDE w:val="0"/>
        <w:autoSpaceDN w:val="0"/>
        <w:adjustRightInd w:val="0"/>
        <w:jc w:val="center"/>
        <w:rPr>
          <w:rFonts w:ascii="Consolas" w:hAnsi="Consolas" w:cs="Consolas" w:hint="eastAsia"/>
          <w:iCs/>
          <w:kern w:val="0"/>
          <w:szCs w:val="24"/>
        </w:rPr>
      </w:pPr>
      <w:r w:rsidRPr="00943B76">
        <w:rPr>
          <w:rFonts w:ascii="Consolas" w:hAnsi="Consolas" w:cs="Consolas" w:hint="eastAsia"/>
          <w:iCs/>
          <w:kern w:val="0"/>
          <w:sz w:val="21"/>
          <w:szCs w:val="21"/>
        </w:rPr>
        <w:t>作出投资决定前，请阅读完整的招募说明书等销售文件。</w:t>
      </w:r>
    </w:p>
    <w:p w:rsidR="006510B5" w:rsidRPr="001F03B7" w:rsidRDefault="000F26EF" w:rsidP="0003056B">
      <w:pPr>
        <w:rPr>
          <w:rFonts w:ascii="宋体" w:hAnsi="宋体"/>
        </w:rPr>
      </w:pPr>
      <w:r w:rsidRPr="001F03B7">
        <w:rPr>
          <w:rFonts w:ascii="宋体" w:hAnsi="宋体" w:cs="宋体" w:hint="eastAsia"/>
          <w:b/>
          <w:iCs/>
          <w:sz w:val="21"/>
          <w:szCs w:val="21"/>
        </w:rPr>
        <w:t>一、产品概况</w:t>
      </w:r>
    </w:p>
    <w:tbl>
      <w:tblPr>
        <w:tblW w:w="90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666"/>
        <w:gridCol w:w="1882"/>
        <w:gridCol w:w="2866"/>
      </w:tblGrid>
      <w:tr w:rsidR="00487162" w:rsidRPr="00943B76" w:rsidTr="0012633B">
        <w:tc>
          <w:tcPr>
            <w:tcW w:w="1985" w:type="dxa"/>
          </w:tcPr>
          <w:p w:rsidR="00487162" w:rsidRPr="006E345A" w:rsidRDefault="000F26EF"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基金简称</w:t>
            </w:r>
          </w:p>
        </w:tc>
        <w:tc>
          <w:tcPr>
            <w:tcW w:w="3260" w:type="dxa"/>
          </w:tcPr>
          <w:p w:rsidR="00487162" w:rsidRPr="006E345A" w:rsidRDefault="000F26EF" w:rsidP="0012633B">
            <w:pPr>
              <w:autoSpaceDE w:val="0"/>
              <w:autoSpaceDN w:val="0"/>
              <w:adjustRightInd w:val="0"/>
              <w:rPr>
                <w:rFonts w:ascii="宋体" w:hAnsi="宋体" w:cs="Consolas"/>
                <w:iCs/>
                <w:kern w:val="0"/>
                <w:sz w:val="21"/>
                <w:szCs w:val="21"/>
              </w:rPr>
            </w:pPr>
            <w:r>
              <w:rPr>
                <w:rFonts w:ascii="宋体" w:hAnsi="宋体" w:hint="eastAsia"/>
                <w:sz w:val="21"/>
                <w:szCs w:val="21"/>
              </w:rPr>
              <w:t>银华裕利混合发起式</w:t>
            </w:r>
          </w:p>
        </w:tc>
        <w:tc>
          <w:tcPr>
            <w:tcW w:w="2268" w:type="dxa"/>
          </w:tcPr>
          <w:p w:rsidR="00487162" w:rsidRPr="006E345A" w:rsidRDefault="000F26EF"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基金代码</w:t>
            </w:r>
          </w:p>
        </w:tc>
        <w:tc>
          <w:tcPr>
            <w:tcW w:w="3402" w:type="dxa"/>
          </w:tcPr>
          <w:p w:rsidR="00487162" w:rsidRPr="006E345A" w:rsidRDefault="000F26EF" w:rsidP="0012633B">
            <w:pPr>
              <w:autoSpaceDE w:val="0"/>
              <w:autoSpaceDN w:val="0"/>
              <w:adjustRightInd w:val="0"/>
              <w:rPr>
                <w:rFonts w:ascii="宋体" w:hAnsi="宋体"/>
                <w:sz w:val="21"/>
                <w:szCs w:val="21"/>
              </w:rPr>
            </w:pPr>
            <w:r>
              <w:rPr>
                <w:rFonts w:ascii="宋体" w:hAnsi="宋体"/>
                <w:sz w:val="21"/>
                <w:szCs w:val="21"/>
              </w:rPr>
              <w:t>005848</w:t>
            </w:r>
          </w:p>
        </w:tc>
      </w:tr>
      <w:tr w:rsidR="00DA7475" w:rsidRPr="00943B76" w:rsidTr="0012633B">
        <w:tc>
          <w:tcPr>
            <w:tcW w:w="1985" w:type="dxa"/>
          </w:tcPr>
          <w:p w:rsidR="00DA7475" w:rsidRPr="00943B76" w:rsidRDefault="000F26EF"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基金管理人</w:t>
            </w:r>
          </w:p>
        </w:tc>
        <w:tc>
          <w:tcPr>
            <w:tcW w:w="3260" w:type="dxa"/>
          </w:tcPr>
          <w:p w:rsidR="00DA7475" w:rsidRPr="00943B76" w:rsidRDefault="000F26EF" w:rsidP="0012633B">
            <w:pPr>
              <w:autoSpaceDE w:val="0"/>
              <w:autoSpaceDN w:val="0"/>
              <w:adjustRightInd w:val="0"/>
              <w:rPr>
                <w:rFonts w:ascii="宋体" w:hAnsi="宋体" w:cs="Consolas"/>
                <w:iCs/>
                <w:kern w:val="0"/>
                <w:sz w:val="21"/>
                <w:szCs w:val="21"/>
              </w:rPr>
            </w:pPr>
            <w:r>
              <w:rPr>
                <w:rFonts w:ascii="宋体" w:hAnsi="宋体" w:hint="eastAsia"/>
                <w:sz w:val="21"/>
                <w:szCs w:val="21"/>
              </w:rPr>
              <w:t>银华基金管理股份有限公司</w:t>
            </w:r>
          </w:p>
        </w:tc>
        <w:tc>
          <w:tcPr>
            <w:tcW w:w="2268" w:type="dxa"/>
          </w:tcPr>
          <w:p w:rsidR="00DA7475" w:rsidRPr="00943B76" w:rsidRDefault="000F26EF"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基金托管人</w:t>
            </w:r>
          </w:p>
        </w:tc>
        <w:tc>
          <w:tcPr>
            <w:tcW w:w="3402" w:type="dxa"/>
          </w:tcPr>
          <w:p w:rsidR="00DA7475" w:rsidRPr="00943B76" w:rsidRDefault="000F26EF" w:rsidP="0012633B">
            <w:pPr>
              <w:autoSpaceDE w:val="0"/>
              <w:autoSpaceDN w:val="0"/>
              <w:adjustRightInd w:val="0"/>
              <w:rPr>
                <w:rFonts w:ascii="宋体" w:hAnsi="宋体"/>
                <w:sz w:val="21"/>
                <w:szCs w:val="21"/>
              </w:rPr>
            </w:pPr>
            <w:r>
              <w:rPr>
                <w:rFonts w:ascii="宋体" w:hAnsi="宋体" w:hint="eastAsia"/>
                <w:sz w:val="21"/>
                <w:szCs w:val="21"/>
              </w:rPr>
              <w:t>中国农业银行股份有限公司</w:t>
            </w:r>
          </w:p>
        </w:tc>
      </w:tr>
      <w:tr w:rsidR="0012633B" w:rsidRPr="00943B76" w:rsidTr="0012633B">
        <w:tc>
          <w:tcPr>
            <w:tcW w:w="1985" w:type="dxa"/>
          </w:tcPr>
          <w:p w:rsidR="0012633B" w:rsidRPr="00943B76" w:rsidRDefault="000F26EF"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基金合同生效日</w:t>
            </w:r>
          </w:p>
        </w:tc>
        <w:tc>
          <w:tcPr>
            <w:tcW w:w="8930" w:type="dxa"/>
            <w:gridSpan w:val="3"/>
          </w:tcPr>
          <w:p w:rsidR="0012633B" w:rsidRPr="00943B76" w:rsidRDefault="000F26EF" w:rsidP="0012633B">
            <w:pPr>
              <w:autoSpaceDE w:val="0"/>
              <w:autoSpaceDN w:val="0"/>
              <w:adjustRightInd w:val="0"/>
              <w:rPr>
                <w:rFonts w:ascii="宋体" w:hAnsi="宋体"/>
                <w:sz w:val="21"/>
                <w:szCs w:val="21"/>
              </w:rPr>
            </w:pPr>
            <w:r>
              <w:rPr>
                <w:rFonts w:ascii="宋体" w:hAnsi="宋体"/>
                <w:sz w:val="21"/>
                <w:szCs w:val="21"/>
              </w:rPr>
              <w:t>2018-12-07</w:t>
            </w:r>
          </w:p>
        </w:tc>
      </w:tr>
      <w:tr w:rsidR="00DA7475" w:rsidRPr="00943B76" w:rsidTr="0012633B">
        <w:tc>
          <w:tcPr>
            <w:tcW w:w="1985" w:type="dxa"/>
          </w:tcPr>
          <w:p w:rsidR="00DA7475" w:rsidRPr="00943B76" w:rsidRDefault="000F26EF"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基金类型</w:t>
            </w:r>
          </w:p>
        </w:tc>
        <w:tc>
          <w:tcPr>
            <w:tcW w:w="3260" w:type="dxa"/>
          </w:tcPr>
          <w:p w:rsidR="00DA7475" w:rsidRPr="00943B76" w:rsidRDefault="000F26EF" w:rsidP="0012633B">
            <w:pPr>
              <w:autoSpaceDE w:val="0"/>
              <w:autoSpaceDN w:val="0"/>
              <w:adjustRightInd w:val="0"/>
              <w:rPr>
                <w:rFonts w:ascii="宋体" w:hAnsi="宋体" w:cs="Consolas"/>
                <w:iCs/>
                <w:kern w:val="0"/>
                <w:sz w:val="21"/>
                <w:szCs w:val="21"/>
              </w:rPr>
            </w:pPr>
            <w:r>
              <w:rPr>
                <w:rFonts w:ascii="宋体" w:hAnsi="宋体" w:hint="eastAsia"/>
                <w:sz w:val="21"/>
                <w:szCs w:val="21"/>
              </w:rPr>
              <w:t>混合型</w:t>
            </w:r>
          </w:p>
        </w:tc>
        <w:tc>
          <w:tcPr>
            <w:tcW w:w="2268" w:type="dxa"/>
          </w:tcPr>
          <w:p w:rsidR="00DA7475" w:rsidRPr="00943B76" w:rsidRDefault="000F26EF"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交易币种</w:t>
            </w:r>
          </w:p>
        </w:tc>
        <w:tc>
          <w:tcPr>
            <w:tcW w:w="3402" w:type="dxa"/>
          </w:tcPr>
          <w:p w:rsidR="00DA7475" w:rsidRPr="00943B76" w:rsidRDefault="000F26EF" w:rsidP="0012633B">
            <w:pPr>
              <w:autoSpaceDE w:val="0"/>
              <w:autoSpaceDN w:val="0"/>
              <w:adjustRightInd w:val="0"/>
              <w:rPr>
                <w:rFonts w:ascii="宋体" w:hAnsi="宋体"/>
                <w:sz w:val="21"/>
                <w:szCs w:val="21"/>
              </w:rPr>
            </w:pPr>
            <w:r>
              <w:rPr>
                <w:rFonts w:ascii="宋体" w:hAnsi="宋体"/>
                <w:sz w:val="21"/>
                <w:szCs w:val="21"/>
              </w:rPr>
              <w:t>人民币</w:t>
            </w:r>
          </w:p>
        </w:tc>
      </w:tr>
      <w:tr w:rsidR="00DA7475" w:rsidRPr="00943B76" w:rsidTr="0012633B">
        <w:tc>
          <w:tcPr>
            <w:tcW w:w="1985" w:type="dxa"/>
          </w:tcPr>
          <w:p w:rsidR="00DA7475" w:rsidRPr="00943B76" w:rsidRDefault="000F26EF"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运作方式</w:t>
            </w:r>
          </w:p>
        </w:tc>
        <w:tc>
          <w:tcPr>
            <w:tcW w:w="3260" w:type="dxa"/>
          </w:tcPr>
          <w:p w:rsidR="00DA7475" w:rsidRPr="00943B76" w:rsidRDefault="000F26EF" w:rsidP="0012633B">
            <w:pPr>
              <w:autoSpaceDE w:val="0"/>
              <w:autoSpaceDN w:val="0"/>
              <w:adjustRightInd w:val="0"/>
              <w:rPr>
                <w:rFonts w:ascii="宋体" w:hAnsi="宋体" w:cs="Consolas"/>
                <w:iCs/>
                <w:kern w:val="0"/>
                <w:sz w:val="21"/>
                <w:szCs w:val="21"/>
              </w:rPr>
            </w:pPr>
            <w:r>
              <w:rPr>
                <w:rFonts w:ascii="宋体" w:hAnsi="宋体" w:hint="eastAsia"/>
                <w:sz w:val="21"/>
                <w:szCs w:val="21"/>
              </w:rPr>
              <w:t>普通开放式</w:t>
            </w:r>
          </w:p>
        </w:tc>
        <w:tc>
          <w:tcPr>
            <w:tcW w:w="2268" w:type="dxa"/>
          </w:tcPr>
          <w:p w:rsidR="00DA7475" w:rsidRPr="00943B76" w:rsidRDefault="000F26EF"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开放频率</w:t>
            </w:r>
          </w:p>
        </w:tc>
        <w:tc>
          <w:tcPr>
            <w:tcW w:w="3402" w:type="dxa"/>
          </w:tcPr>
          <w:p w:rsidR="00DA7475" w:rsidRPr="00943B76" w:rsidRDefault="000F26EF" w:rsidP="0012633B">
            <w:pPr>
              <w:autoSpaceDE w:val="0"/>
              <w:autoSpaceDN w:val="0"/>
              <w:adjustRightInd w:val="0"/>
              <w:rPr>
                <w:rFonts w:ascii="宋体" w:hAnsi="宋体"/>
                <w:sz w:val="21"/>
                <w:szCs w:val="21"/>
              </w:rPr>
            </w:pPr>
            <w:r>
              <w:rPr>
                <w:rFonts w:ascii="宋体" w:hAnsi="宋体" w:hint="eastAsia"/>
                <w:sz w:val="21"/>
                <w:szCs w:val="21"/>
              </w:rPr>
              <w:t>每个开放日</w:t>
            </w:r>
          </w:p>
        </w:tc>
      </w:tr>
      <w:tr w:rsidR="00DA7475" w:rsidRPr="00943B76" w:rsidTr="0012633B">
        <w:tc>
          <w:tcPr>
            <w:tcW w:w="1985" w:type="dxa"/>
          </w:tcPr>
          <w:p w:rsidR="00DA7475" w:rsidRPr="00943B76" w:rsidRDefault="000F26EF"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基金经理</w:t>
            </w:r>
          </w:p>
        </w:tc>
        <w:tc>
          <w:tcPr>
            <w:tcW w:w="5528" w:type="dxa"/>
            <w:gridSpan w:val="2"/>
          </w:tcPr>
          <w:p w:rsidR="00DA7475" w:rsidRPr="00943B76" w:rsidRDefault="000F26EF"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开始担任本基金基金经理的日期</w:t>
            </w:r>
          </w:p>
        </w:tc>
        <w:tc>
          <w:tcPr>
            <w:tcW w:w="3402" w:type="dxa"/>
          </w:tcPr>
          <w:p w:rsidR="00DA7475" w:rsidRPr="00943B76" w:rsidRDefault="000F26EF"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证券从业日期</w:t>
            </w:r>
          </w:p>
        </w:tc>
      </w:tr>
      <w:tr w:rsidR="00DA7475" w:rsidRPr="00943B76" w:rsidTr="0012633B">
        <w:tc>
          <w:tcPr>
            <w:tcW w:w="1985" w:type="dxa"/>
          </w:tcPr>
          <w:p w:rsidR="00DA7475" w:rsidRPr="00943B76" w:rsidRDefault="000F26EF" w:rsidP="0012633B">
            <w:pPr>
              <w:autoSpaceDE w:val="0"/>
              <w:autoSpaceDN w:val="0"/>
              <w:adjustRightInd w:val="0"/>
              <w:rPr>
                <w:rFonts w:ascii="宋体" w:hAnsi="宋体" w:cs="Consolas"/>
                <w:iCs/>
                <w:kern w:val="0"/>
                <w:sz w:val="21"/>
                <w:szCs w:val="21"/>
              </w:rPr>
            </w:pPr>
            <w:r>
              <w:rPr>
                <w:rFonts w:ascii="宋体" w:hAnsi="宋体"/>
                <w:sz w:val="21"/>
                <w:szCs w:val="21"/>
              </w:rPr>
              <w:t>和玮</w:t>
            </w:r>
          </w:p>
        </w:tc>
        <w:tc>
          <w:tcPr>
            <w:tcW w:w="5528" w:type="dxa"/>
            <w:gridSpan w:val="2"/>
          </w:tcPr>
          <w:p w:rsidR="00DA7475" w:rsidRPr="00943B76" w:rsidRDefault="000F26EF" w:rsidP="0012633B">
            <w:pPr>
              <w:autoSpaceDE w:val="0"/>
              <w:autoSpaceDN w:val="0"/>
              <w:adjustRightInd w:val="0"/>
              <w:rPr>
                <w:rFonts w:ascii="宋体" w:hAnsi="宋体" w:cs="Consolas"/>
                <w:iCs/>
                <w:kern w:val="0"/>
                <w:sz w:val="21"/>
                <w:szCs w:val="21"/>
              </w:rPr>
            </w:pPr>
            <w:r>
              <w:rPr>
                <w:rFonts w:ascii="宋体" w:hAnsi="宋体"/>
                <w:sz w:val="21"/>
                <w:szCs w:val="21"/>
              </w:rPr>
              <w:t>2022-08-09</w:t>
            </w:r>
          </w:p>
        </w:tc>
        <w:tc>
          <w:tcPr>
            <w:tcW w:w="3402" w:type="dxa"/>
          </w:tcPr>
          <w:p w:rsidR="00DA7475" w:rsidRPr="00943B76" w:rsidRDefault="000F26EF" w:rsidP="0012633B">
            <w:pPr>
              <w:autoSpaceDE w:val="0"/>
              <w:autoSpaceDN w:val="0"/>
              <w:adjustRightInd w:val="0"/>
              <w:rPr>
                <w:rFonts w:ascii="宋体" w:hAnsi="宋体"/>
                <w:sz w:val="21"/>
                <w:szCs w:val="21"/>
              </w:rPr>
            </w:pPr>
            <w:r>
              <w:rPr>
                <w:rFonts w:ascii="宋体" w:hAnsi="宋体"/>
                <w:sz w:val="21"/>
                <w:szCs w:val="21"/>
              </w:rPr>
              <w:t>2008-03-01</w:t>
            </w:r>
          </w:p>
        </w:tc>
      </w:tr>
    </w:tbl>
    <w:p w:rsidR="004B51AE" w:rsidRPr="001F03B7" w:rsidRDefault="000F26EF" w:rsidP="0003056B">
      <w:pPr>
        <w:rPr>
          <w:rFonts w:ascii="宋体" w:hAnsi="宋体" w:cs="宋体"/>
          <w:b/>
          <w:iCs/>
          <w:sz w:val="21"/>
          <w:szCs w:val="21"/>
        </w:rPr>
      </w:pPr>
      <w:r w:rsidRPr="001F03B7">
        <w:rPr>
          <w:rFonts w:ascii="宋体" w:hAnsi="宋体" w:cs="宋体" w:hint="eastAsia"/>
          <w:b/>
          <w:iCs/>
          <w:sz w:val="21"/>
          <w:szCs w:val="21"/>
        </w:rPr>
        <w:t>二、基金投资与净值表现</w:t>
      </w:r>
    </w:p>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（一）投资目标与投资策略</w:t>
      </w:r>
    </w:p>
    <w:p w:rsidR="00D373CC" w:rsidRPr="00335FE8" w:rsidRDefault="00D373CC" w:rsidP="00D373CC">
      <w:pPr>
        <w:jc w:val="left"/>
        <w:rPr>
          <w:rFonts w:ascii="宋体" w:eastAsia="宋体" w:hAnsi="宋体" w:cs="宋体"/>
          <w:sz w:val="21"/>
          <w:szCs w:val="21"/>
        </w:rPr>
      </w:pPr>
      <w:r w:rsidRPr="00335FE8">
        <w:rPr>
          <w:rFonts w:ascii="宋体" w:eastAsia="宋体" w:hAnsi="宋体" w:cs="宋体" w:hint="eastAsia"/>
          <w:sz w:val="21"/>
          <w:szCs w:val="21"/>
        </w:rPr>
        <w:t>详见本基金招募说明书（更新）的“基金的投资”章节。</w:t>
      </w:r>
    </w:p>
    <w:tbl>
      <w:tblPr>
        <w:tblW w:w="9073" w:type="dxa"/>
        <w:tblInd w:w="-431" w:type="dxa"/>
        <w:tblBorders>
          <w:top w:val="single" w:sz="4" w:space="0" w:color="000000"/>
          <w:bottom w:val="single" w:sz="4" w:space="0" w:color="000000"/>
          <w:insideH w:val="dotted" w:sz="4" w:space="0" w:color="auto"/>
        </w:tblBorders>
        <w:tblLook w:val="04A0" w:firstRow="1" w:lastRow="0" w:firstColumn="1" w:lastColumn="0" w:noHBand="0" w:noVBand="1"/>
      </w:tblPr>
      <w:tblGrid>
        <w:gridCol w:w="1501"/>
        <w:gridCol w:w="7572"/>
      </w:tblGrid>
      <w:tr w:rsidR="002D5495" w:rsidRPr="00943B76" w:rsidTr="00AE7CEB">
        <w:tc>
          <w:tcPr>
            <w:tcW w:w="1560" w:type="dxa"/>
          </w:tcPr>
          <w:p w:rsidR="002D5495" w:rsidRPr="00F03BC3" w:rsidRDefault="000F26EF"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t>投资目标</w:t>
            </w:r>
          </w:p>
        </w:tc>
        <w:tc>
          <w:tcPr>
            <w:tcW w:w="7938" w:type="dxa"/>
          </w:tcPr>
          <w:p w:rsidR="002D5495" w:rsidRPr="00943B76" w:rsidRDefault="000F26EF" w:rsidP="0003056B">
            <w:pPr>
              <w:autoSpaceDE w:val="0"/>
              <w:autoSpaceDN w:val="0"/>
              <w:adjustRightInd w:val="0"/>
              <w:rPr>
                <w:rFonts w:ascii="宋体" w:hAnsi="宋体" w:cs="Consolas"/>
                <w:iCs/>
                <w:kern w:val="0"/>
                <w:sz w:val="21"/>
                <w:szCs w:val="21"/>
              </w:rPr>
            </w:pPr>
            <w:r>
              <w:rPr>
                <w:rFonts w:ascii="宋体" w:hAnsi="宋体" w:hint="eastAsia"/>
                <w:sz w:val="21"/>
                <w:szCs w:val="21"/>
              </w:rPr>
              <w:t>通过把握股票市场、债券市场、银行间市场的收益率变化，在控制风险的前提下为投资人获取稳健回报。</w:t>
            </w:r>
          </w:p>
        </w:tc>
      </w:tr>
      <w:tr w:rsidR="002D5495" w:rsidRPr="00943B76" w:rsidTr="00AE7CEB">
        <w:tc>
          <w:tcPr>
            <w:tcW w:w="1560" w:type="dxa"/>
          </w:tcPr>
          <w:p w:rsidR="002D5495" w:rsidRPr="00F03BC3" w:rsidRDefault="000F26EF" w:rsidP="0003056B">
            <w:pPr>
              <w:autoSpaceDE w:val="0"/>
              <w:autoSpaceDN w:val="0"/>
              <w:adjustRightInd w:val="0"/>
              <w:rPr>
                <w:rFonts w:ascii="宋体" w:hAnsi="宋体" w:cs="Consolas"/>
                <w:b/>
                <w:iCs/>
                <w:kern w:val="0"/>
                <w:sz w:val="21"/>
                <w:szCs w:val="21"/>
              </w:rPr>
            </w:pPr>
            <w:r w:rsidRPr="00F03BC3">
              <w:rPr>
                <w:rFonts w:ascii="宋体" w:hAnsi="宋体" w:hint="eastAsia"/>
                <w:b/>
                <w:sz w:val="21"/>
                <w:szCs w:val="21"/>
              </w:rPr>
              <w:t>投资范围</w:t>
            </w:r>
          </w:p>
        </w:tc>
        <w:tc>
          <w:tcPr>
            <w:tcW w:w="7938" w:type="dxa"/>
          </w:tcPr>
          <w:p w:rsidR="00AE7CEB" w:rsidRDefault="000F26EF" w:rsidP="0003056B">
            <w:pPr>
              <w:autoSpaceDE w:val="0"/>
              <w:autoSpaceDN w:val="0"/>
              <w:adjustRightInd w:val="0"/>
              <w:rPr>
                <w:rFonts w:ascii="宋体" w:hAnsi="宋体"/>
                <w:sz w:val="21"/>
                <w:szCs w:val="21"/>
              </w:rPr>
            </w:pPr>
            <w:r>
              <w:rPr>
                <w:rFonts w:ascii="宋体" w:hAnsi="宋体" w:hint="eastAsia"/>
                <w:sz w:val="21"/>
                <w:szCs w:val="21"/>
              </w:rPr>
              <w:t>本基金的投资范围包括国内依法发行或上市的股票（包括中小板股票、创业板股票、存托凭证及其他经中国证监会核准上市的股票）、港股通标的股票、债券（包括国债、金融债券、企业债券、公司债券、央行票据、中期票据、短期融资券、超短期融资券、次级债券、地方政府债券、可转换公司债券及分离交易可转债、可交换债券以及其他中国证监会允许投资的债券）、资产支持证券、债券回购、银行存款（包括协议存款、定期存款及其他银行存款）、现金、权证、股指期货以及法律法规或中国证监会允许基金投资的其他金融工具（但须符合中国证监会的相关规定）。</w:t>
            </w:r>
          </w:p>
          <w:p w:rsidR="00AE7CEB" w:rsidRDefault="000F26EF" w:rsidP="0003056B">
            <w:pPr>
              <w:autoSpaceDE w:val="0"/>
              <w:autoSpaceDN w:val="0"/>
              <w:adjustRightInd w:val="0"/>
              <w:rPr>
                <w:rFonts w:ascii="宋体" w:hAnsi="宋体"/>
                <w:sz w:val="21"/>
                <w:szCs w:val="21"/>
              </w:rPr>
            </w:pPr>
            <w:r>
              <w:rPr>
                <w:rFonts w:ascii="宋体" w:hAnsi="宋体" w:hint="eastAsia"/>
                <w:sz w:val="21"/>
                <w:szCs w:val="21"/>
              </w:rPr>
              <w:t>如法</w:t>
            </w:r>
            <w:r>
              <w:rPr>
                <w:rFonts w:ascii="宋体" w:hAnsi="宋体" w:hint="eastAsia"/>
                <w:sz w:val="21"/>
                <w:szCs w:val="21"/>
              </w:rPr>
              <w:t>律法规或监管机构以后允许基金投资其他品种，基金管理人在履行适当程序后，可以将其纳入本基金的投资范围，其投资比例遵循届时有效的法律法规和相关规定。</w:t>
            </w:r>
          </w:p>
          <w:p w:rsidR="00AE7CEB" w:rsidRDefault="000F26EF" w:rsidP="0003056B">
            <w:pPr>
              <w:autoSpaceDE w:val="0"/>
              <w:autoSpaceDN w:val="0"/>
              <w:adjustRightInd w:val="0"/>
              <w:rPr>
                <w:rFonts w:ascii="宋体" w:hAnsi="宋体"/>
                <w:sz w:val="21"/>
                <w:szCs w:val="21"/>
              </w:rPr>
            </w:pPr>
            <w:r>
              <w:rPr>
                <w:rFonts w:ascii="宋体" w:hAnsi="宋体" w:hint="eastAsia"/>
                <w:sz w:val="21"/>
                <w:szCs w:val="21"/>
              </w:rPr>
              <w:t>本基金的投资组合比例为：股票资产占基金资产的比例为</w:t>
            </w:r>
            <w:r>
              <w:rPr>
                <w:rFonts w:ascii="宋体" w:hAnsi="宋体" w:hint="eastAsia"/>
                <w:sz w:val="21"/>
                <w:szCs w:val="21"/>
              </w:rPr>
              <w:t>50%</w:t>
            </w:r>
            <w:r>
              <w:rPr>
                <w:rFonts w:ascii="宋体" w:hAnsi="宋体" w:hint="eastAsia"/>
                <w:sz w:val="21"/>
                <w:szCs w:val="21"/>
              </w:rPr>
              <w:t>—</w:t>
            </w:r>
            <w:r>
              <w:rPr>
                <w:rFonts w:ascii="宋体" w:hAnsi="宋体" w:hint="eastAsia"/>
                <w:sz w:val="21"/>
                <w:szCs w:val="21"/>
              </w:rPr>
              <w:t>95%</w:t>
            </w:r>
            <w:r>
              <w:rPr>
                <w:rFonts w:ascii="宋体" w:hAnsi="宋体" w:hint="eastAsia"/>
                <w:sz w:val="21"/>
                <w:szCs w:val="21"/>
              </w:rPr>
              <w:t>（其中投资于港股通标的股票的比例占股票资产的</w:t>
            </w:r>
            <w:r>
              <w:rPr>
                <w:rFonts w:ascii="宋体" w:hAnsi="宋体" w:hint="eastAsia"/>
                <w:sz w:val="21"/>
                <w:szCs w:val="21"/>
              </w:rPr>
              <w:t>0%-50%</w:t>
            </w:r>
            <w:r>
              <w:rPr>
                <w:rFonts w:ascii="宋体" w:hAnsi="宋体" w:hint="eastAsia"/>
                <w:sz w:val="21"/>
                <w:szCs w:val="21"/>
              </w:rPr>
              <w:t>）。其余资产投资于债券、资产支持证券、债券回购、银行存款（包括协议存款、定期存款及其他银行存款）、现金、权证、股指期货等金融工具；权证投资不得超过基金资产净值的</w:t>
            </w:r>
            <w:r>
              <w:rPr>
                <w:rFonts w:ascii="宋体" w:hAnsi="宋体" w:hint="eastAsia"/>
                <w:sz w:val="21"/>
                <w:szCs w:val="21"/>
              </w:rPr>
              <w:t>3%</w:t>
            </w:r>
            <w:r>
              <w:rPr>
                <w:rFonts w:ascii="宋体" w:hAnsi="宋体" w:hint="eastAsia"/>
                <w:sz w:val="21"/>
                <w:szCs w:val="21"/>
              </w:rPr>
              <w:t>；每个交易日日终在扣除股指期货合约需缴纳的交易保证金后，现金或者到期日在一年以内的</w:t>
            </w:r>
            <w:r>
              <w:rPr>
                <w:rFonts w:ascii="宋体" w:hAnsi="宋体" w:hint="eastAsia"/>
                <w:sz w:val="21"/>
                <w:szCs w:val="21"/>
              </w:rPr>
              <w:t>政府债券不低于基金资产净值的</w:t>
            </w:r>
            <w:r>
              <w:rPr>
                <w:rFonts w:ascii="宋体" w:hAnsi="宋体" w:hint="eastAsia"/>
                <w:sz w:val="21"/>
                <w:szCs w:val="21"/>
              </w:rPr>
              <w:t>5%</w:t>
            </w:r>
            <w:r>
              <w:rPr>
                <w:rFonts w:ascii="宋体" w:hAnsi="宋体" w:hint="eastAsia"/>
                <w:sz w:val="21"/>
                <w:szCs w:val="21"/>
              </w:rPr>
              <w:t>，其中，现金不包括结算备付金、存出保证金、应收申购款等。本基金将港股通标的股票投资的比例下限设为零，本基金可根据投资策略需要或不同配置地市场环境的变化，选择将部分基金资产投资于港股通标的股票或选择不将基金资产投资于港股通标的股票，基金资产并非必然投资港股通标的股票。</w:t>
            </w:r>
          </w:p>
          <w:p w:rsidR="00AE7CEB" w:rsidRDefault="000F26EF" w:rsidP="0003056B">
            <w:pPr>
              <w:autoSpaceDE w:val="0"/>
              <w:autoSpaceDN w:val="0"/>
              <w:adjustRightInd w:val="0"/>
              <w:rPr>
                <w:rFonts w:ascii="宋体" w:hAnsi="宋体"/>
                <w:sz w:val="21"/>
                <w:szCs w:val="21"/>
              </w:rPr>
            </w:pPr>
            <w:r>
              <w:rPr>
                <w:rFonts w:ascii="宋体" w:hAnsi="宋体" w:hint="eastAsia"/>
                <w:sz w:val="21"/>
                <w:szCs w:val="21"/>
              </w:rPr>
              <w:lastRenderedPageBreak/>
              <w:t>如果法律法规或中国证监会变更投资品种的投资比例限制，基金管理人在履行适当程序后，可以调整上述投资品种的投资比例。</w:t>
            </w:r>
          </w:p>
        </w:tc>
      </w:tr>
      <w:tr w:rsidR="002D5495" w:rsidRPr="00943B76" w:rsidTr="00AE7CEB">
        <w:tc>
          <w:tcPr>
            <w:tcW w:w="1560" w:type="dxa"/>
          </w:tcPr>
          <w:p w:rsidR="002D5495" w:rsidRPr="00F03BC3" w:rsidRDefault="000F26EF"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lastRenderedPageBreak/>
              <w:t>主要投资策略</w:t>
            </w:r>
          </w:p>
        </w:tc>
        <w:tc>
          <w:tcPr>
            <w:tcW w:w="7938" w:type="dxa"/>
          </w:tcPr>
          <w:p w:rsidR="002D5495" w:rsidRPr="00943B76" w:rsidRDefault="000F26EF" w:rsidP="0003056B">
            <w:pPr>
              <w:autoSpaceDE w:val="0"/>
              <w:autoSpaceDN w:val="0"/>
              <w:adjustRightInd w:val="0"/>
              <w:rPr>
                <w:rFonts w:ascii="宋体" w:hAnsi="宋体" w:cs="Consolas"/>
                <w:iCs/>
                <w:kern w:val="0"/>
                <w:sz w:val="21"/>
                <w:szCs w:val="21"/>
              </w:rPr>
            </w:pPr>
            <w:r>
              <w:rPr>
                <w:rFonts w:ascii="宋体" w:hAnsi="宋体" w:hint="eastAsia"/>
                <w:sz w:val="21"/>
                <w:szCs w:val="21"/>
              </w:rPr>
              <w:t>本基金主要采用自上而下分析的方法进行大类资产配置，确定股票、债券、金融衍生品、现金</w:t>
            </w:r>
            <w:r>
              <w:rPr>
                <w:rFonts w:ascii="宋体" w:hAnsi="宋体" w:hint="eastAsia"/>
                <w:sz w:val="21"/>
                <w:szCs w:val="21"/>
              </w:rPr>
              <w:t>的投资比例；根据国家政治经济政策精神，确定可投资的行业范围。本基金为混合型基金，长期来看将以权益性资产为主要配置，同时结合资金面情况、市场情绪面因素，适当进行短期的战术避险选择。</w:t>
            </w:r>
          </w:p>
        </w:tc>
      </w:tr>
      <w:tr w:rsidR="002D5495" w:rsidRPr="00943B76" w:rsidTr="00AE7CEB">
        <w:tc>
          <w:tcPr>
            <w:tcW w:w="1560" w:type="dxa"/>
          </w:tcPr>
          <w:p w:rsidR="002D5495" w:rsidRPr="00F03BC3" w:rsidRDefault="000F26EF"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t>业绩比较基准</w:t>
            </w:r>
          </w:p>
        </w:tc>
        <w:tc>
          <w:tcPr>
            <w:tcW w:w="7938" w:type="dxa"/>
          </w:tcPr>
          <w:p w:rsidR="002D5495" w:rsidRPr="00943B76" w:rsidRDefault="000F26EF" w:rsidP="0003056B">
            <w:pPr>
              <w:autoSpaceDE w:val="0"/>
              <w:autoSpaceDN w:val="0"/>
              <w:adjustRightInd w:val="0"/>
              <w:rPr>
                <w:rFonts w:ascii="宋体" w:hAnsi="宋体" w:cs="Consolas"/>
                <w:iCs/>
                <w:kern w:val="0"/>
                <w:sz w:val="21"/>
                <w:szCs w:val="21"/>
              </w:rPr>
            </w:pPr>
            <w:r>
              <w:rPr>
                <w:rFonts w:ascii="宋体" w:hAnsi="宋体" w:hint="eastAsia"/>
                <w:sz w:val="21"/>
                <w:szCs w:val="21"/>
              </w:rPr>
              <w:t>中证</w:t>
            </w:r>
            <w:r>
              <w:rPr>
                <w:rFonts w:ascii="宋体" w:hAnsi="宋体" w:hint="eastAsia"/>
                <w:sz w:val="21"/>
                <w:szCs w:val="21"/>
              </w:rPr>
              <w:t>800</w:t>
            </w:r>
            <w:r>
              <w:rPr>
                <w:rFonts w:ascii="宋体" w:hAnsi="宋体" w:hint="eastAsia"/>
                <w:sz w:val="21"/>
                <w:szCs w:val="21"/>
              </w:rPr>
              <w:t>指数收益率×</w:t>
            </w:r>
            <w:r>
              <w:rPr>
                <w:rFonts w:ascii="宋体" w:hAnsi="宋体" w:hint="eastAsia"/>
                <w:sz w:val="21"/>
                <w:szCs w:val="21"/>
              </w:rPr>
              <w:t>30%+</w:t>
            </w:r>
            <w:r>
              <w:rPr>
                <w:rFonts w:ascii="宋体" w:hAnsi="宋体" w:hint="eastAsia"/>
                <w:sz w:val="21"/>
                <w:szCs w:val="21"/>
              </w:rPr>
              <w:t>恒生指数收益率（使用估值汇率调整）×</w:t>
            </w:r>
            <w:r>
              <w:rPr>
                <w:rFonts w:ascii="宋体" w:hAnsi="宋体" w:hint="eastAsia"/>
                <w:sz w:val="21"/>
                <w:szCs w:val="21"/>
              </w:rPr>
              <w:t>30%+</w:t>
            </w:r>
            <w:r>
              <w:rPr>
                <w:rFonts w:ascii="宋体" w:hAnsi="宋体" w:hint="eastAsia"/>
                <w:sz w:val="21"/>
                <w:szCs w:val="21"/>
              </w:rPr>
              <w:t>中证全债指数收益率×</w:t>
            </w:r>
            <w:r>
              <w:rPr>
                <w:rFonts w:ascii="宋体" w:hAnsi="宋体" w:hint="eastAsia"/>
                <w:sz w:val="21"/>
                <w:szCs w:val="21"/>
              </w:rPr>
              <w:t>40%</w:t>
            </w:r>
          </w:p>
        </w:tc>
      </w:tr>
      <w:tr w:rsidR="00A7207D" w:rsidRPr="00943B76" w:rsidTr="00AE7CEB">
        <w:tc>
          <w:tcPr>
            <w:tcW w:w="1560" w:type="dxa"/>
          </w:tcPr>
          <w:p w:rsidR="00A7207D" w:rsidRPr="00F03BC3" w:rsidRDefault="000F26EF"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t>风险收益特征</w:t>
            </w:r>
          </w:p>
        </w:tc>
        <w:tc>
          <w:tcPr>
            <w:tcW w:w="7938" w:type="dxa"/>
          </w:tcPr>
          <w:p w:rsidR="00A7207D" w:rsidRPr="00943B76" w:rsidRDefault="000F26EF" w:rsidP="0003056B">
            <w:pPr>
              <w:autoSpaceDE w:val="0"/>
              <w:autoSpaceDN w:val="0"/>
              <w:adjustRightInd w:val="0"/>
              <w:rPr>
                <w:rFonts w:ascii="宋体" w:hAnsi="宋体" w:cs="Consolas"/>
                <w:iCs/>
                <w:kern w:val="0"/>
                <w:sz w:val="21"/>
                <w:szCs w:val="21"/>
              </w:rPr>
            </w:pPr>
            <w:r>
              <w:rPr>
                <w:rFonts w:ascii="宋体" w:hAnsi="宋体" w:hint="eastAsia"/>
                <w:sz w:val="21"/>
                <w:szCs w:val="21"/>
              </w:rPr>
              <w:t>本基金为混合型基金，其预期风险、预期收益高于货币市场基金和债券型基金。</w:t>
            </w:r>
          </w:p>
          <w:p w:rsidR="00A7207D" w:rsidRPr="00943B76" w:rsidRDefault="000F26EF" w:rsidP="0003056B">
            <w:pPr>
              <w:autoSpaceDE w:val="0"/>
              <w:autoSpaceDN w:val="0"/>
              <w:adjustRightInd w:val="0"/>
              <w:rPr>
                <w:rFonts w:ascii="宋体" w:hAnsi="宋体" w:cs="Consolas"/>
                <w:iCs/>
                <w:kern w:val="0"/>
                <w:sz w:val="21"/>
                <w:szCs w:val="21"/>
              </w:rPr>
            </w:pPr>
            <w:r>
              <w:rPr>
                <w:rFonts w:ascii="宋体" w:hAnsi="宋体" w:hint="eastAsia"/>
                <w:sz w:val="21"/>
                <w:szCs w:val="21"/>
              </w:rPr>
              <w:t>本基金将投资香港联合交易所上市的股票，将面临港股通机制下因投资环境、投资标的、市场制度以及交易规则等差异带来的特有风险。本基金可根据投资策略需要或不同配置地市场环境的变化，选择将部分基金资产投资于港股或选择不将基金资产投资于港股，基金资产并非必然投资港股。</w:t>
            </w:r>
          </w:p>
        </w:tc>
      </w:tr>
    </w:tbl>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（二）投资组合资产配置图表/区域配置图表</w:t>
      </w:r>
    </w:p>
    <w:p w:rsidR="00D373CC" w:rsidRPr="00335FE8" w:rsidRDefault="000F26EF" w:rsidP="00D373CC">
      <w:pPr>
        <w:jc w:val="center"/>
        <w:rPr>
          <w:rFonts w:ascii="宋体" w:eastAsia="宋体" w:hAnsi="宋体" w:cs="宋体"/>
          <w:b/>
          <w:sz w:val="21"/>
          <w:szCs w:val="21"/>
        </w:rPr>
      </w:pPr>
      <w:r>
        <w:rPr>
          <w:rFonts w:ascii="宋体" w:hAnsi="宋体"/>
          <w:kern w:val="0"/>
          <w:sz w:val="21"/>
          <w:szCs w:val="21"/>
        </w:rPr>
        <w:pict w14:anchorId="54FA8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49.75pt">
            <v:imagedata r:id="rId7" o:title="1521256610242020828"/>
          </v:shape>
        </w:pict>
      </w:r>
    </w:p>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（三）</w:t>
      </w:r>
      <w:r w:rsidRPr="0090269C">
        <w:rPr>
          <w:rFonts w:ascii="宋体" w:eastAsia="宋体" w:hAnsi="宋体" w:cs="宋体" w:hint="eastAsia"/>
          <w:b/>
          <w:sz w:val="21"/>
          <w:szCs w:val="21"/>
        </w:rPr>
        <w:t>自基金合同生效以来/最近十年（孰短）基金每年的净值增长率及与同期业绩比较基准的比较图</w:t>
      </w:r>
    </w:p>
    <w:p w:rsidR="00D373CC" w:rsidRPr="00335FE8" w:rsidRDefault="000F26EF" w:rsidP="00D373CC">
      <w:pPr>
        <w:jc w:val="center"/>
        <w:rPr>
          <w:rFonts w:ascii="宋体" w:eastAsia="宋体" w:hAnsi="宋体" w:cs="宋体"/>
          <w:b/>
          <w:sz w:val="21"/>
          <w:szCs w:val="21"/>
        </w:rPr>
      </w:pPr>
      <w:r>
        <w:rPr>
          <w:rFonts w:ascii="宋体" w:hAnsi="宋体"/>
          <w:kern w:val="0"/>
          <w:sz w:val="21"/>
          <w:szCs w:val="21"/>
        </w:rPr>
        <w:pict w14:anchorId="54FA80B1">
          <v:shape id="_x0000_i1026" type="#_x0000_t75" style="width:500.25pt;height:159.75pt">
            <v:imagedata r:id="rId8" o:title="1521256610242020828"/>
          </v:shape>
        </w:pict>
      </w:r>
    </w:p>
    <w:p w:rsidR="00F811C4" w:rsidRPr="00335FE8" w:rsidRDefault="00F811C4" w:rsidP="00F811C4">
      <w:pPr>
        <w:ind w:firstLine="420"/>
        <w:jc w:val="left"/>
        <w:rPr>
          <w:rFonts w:ascii="宋体" w:eastAsia="宋体" w:hAnsi="宋体" w:cs="宋体"/>
          <w:sz w:val="21"/>
          <w:szCs w:val="21"/>
        </w:rPr>
      </w:pPr>
      <w:r w:rsidRPr="00335FE8">
        <w:rPr>
          <w:rFonts w:ascii="宋体" w:eastAsia="宋体" w:hAnsi="宋体" w:cs="宋体" w:hint="eastAsia"/>
          <w:b/>
          <w:sz w:val="21"/>
          <w:szCs w:val="21"/>
        </w:rPr>
        <w:lastRenderedPageBreak/>
        <w:t>注：</w:t>
      </w:r>
      <w:r w:rsidRPr="00335FE8">
        <w:rPr>
          <w:rFonts w:ascii="宋体" w:eastAsia="宋体" w:hAnsi="宋体" w:cs="宋体" w:hint="eastAsia"/>
          <w:sz w:val="21"/>
          <w:szCs w:val="21"/>
        </w:rPr>
        <w:t>业绩表现截止日期2022年12月31日。基金过往业绩不代表未来表现。</w:t>
      </w:r>
    </w:p>
    <w:p w:rsidR="00E53AB6" w:rsidRPr="00741E09" w:rsidRDefault="000F26EF" w:rsidP="0003056B">
      <w:pPr>
        <w:rPr>
          <w:rFonts w:ascii="宋体" w:hAnsi="宋体" w:cs="宋体"/>
          <w:b/>
          <w:iCs/>
          <w:sz w:val="21"/>
          <w:szCs w:val="21"/>
        </w:rPr>
      </w:pPr>
      <w:r w:rsidRPr="00741E09">
        <w:rPr>
          <w:rFonts w:ascii="宋体" w:hAnsi="宋体" w:cs="宋体" w:hint="eastAsia"/>
          <w:b/>
          <w:iCs/>
          <w:sz w:val="21"/>
          <w:szCs w:val="21"/>
        </w:rPr>
        <w:t>三、投资本基金涉及的费用</w:t>
      </w:r>
    </w:p>
    <w:p w:rsidR="00E53AB6" w:rsidRPr="00741E09" w:rsidRDefault="000F26EF" w:rsidP="0003056B">
      <w:pPr>
        <w:rPr>
          <w:rFonts w:ascii="宋体" w:hAnsi="宋体" w:cs="宋体"/>
          <w:b/>
          <w:iCs/>
          <w:sz w:val="21"/>
          <w:szCs w:val="21"/>
        </w:rPr>
      </w:pPr>
      <w:r w:rsidRPr="00741E09">
        <w:rPr>
          <w:rFonts w:ascii="宋体" w:hAnsi="宋体" w:cs="宋体" w:hint="eastAsia"/>
          <w:b/>
          <w:iCs/>
          <w:sz w:val="21"/>
          <w:szCs w:val="21"/>
        </w:rPr>
        <w:t>（一）基金销售相关费用</w:t>
      </w:r>
    </w:p>
    <w:p w:rsidR="00163EDF" w:rsidRPr="00163EDF" w:rsidRDefault="000F26EF" w:rsidP="0003056B">
      <w:pPr>
        <w:rPr>
          <w:rFonts w:ascii="宋体" w:hAnsi="宋体"/>
          <w:sz w:val="21"/>
          <w:szCs w:val="21"/>
        </w:rPr>
      </w:pPr>
      <w:r w:rsidRPr="00163EDF">
        <w:rPr>
          <w:rFonts w:ascii="宋体" w:hAnsi="宋体" w:cs="宋体" w:hint="eastAsia"/>
          <w:iCs/>
          <w:sz w:val="21"/>
          <w:szCs w:val="21"/>
        </w:rPr>
        <w:t>以下费用在认购</w:t>
      </w:r>
      <w:r w:rsidRPr="00163EDF">
        <w:rPr>
          <w:rFonts w:ascii="宋体" w:hAnsi="宋体" w:cs="宋体" w:hint="eastAsia"/>
          <w:iCs/>
          <w:sz w:val="21"/>
          <w:szCs w:val="21"/>
        </w:rPr>
        <w:t>/</w:t>
      </w:r>
      <w:r w:rsidRPr="00163EDF">
        <w:rPr>
          <w:rFonts w:ascii="宋体" w:hAnsi="宋体" w:cs="宋体" w:hint="eastAsia"/>
          <w:iCs/>
          <w:sz w:val="21"/>
          <w:szCs w:val="21"/>
        </w:rPr>
        <w:t>申购</w:t>
      </w:r>
      <w:r w:rsidRPr="00163EDF">
        <w:rPr>
          <w:rFonts w:ascii="宋体" w:hAnsi="宋体" w:cs="宋体" w:hint="eastAsia"/>
          <w:iCs/>
          <w:sz w:val="21"/>
          <w:szCs w:val="21"/>
        </w:rPr>
        <w:t>/</w:t>
      </w:r>
      <w:r w:rsidRPr="00163EDF">
        <w:rPr>
          <w:rFonts w:ascii="宋体" w:hAnsi="宋体" w:cs="宋体" w:hint="eastAsia"/>
          <w:iCs/>
          <w:sz w:val="21"/>
          <w:szCs w:val="21"/>
        </w:rPr>
        <w:t>赎回基金过程中收取：</w:t>
      </w:r>
    </w:p>
    <w:p w:rsidR="00B02B90" w:rsidRDefault="00B02B90">
      <w:pPr>
        <w:jc w:val="right"/>
      </w:pPr>
    </w:p>
    <w:p w:rsidR="00D373CC" w:rsidRPr="00335FE8" w:rsidRDefault="00D373CC" w:rsidP="00D373CC">
      <w:pPr>
        <w:jc w:val="center"/>
        <w:rPr>
          <w:rFonts w:ascii="宋体" w:eastAsia="宋体" w:hAnsi="宋体" w:cs="宋体"/>
          <w:sz w:val="21"/>
          <w:szCs w:val="21"/>
        </w:rPr>
      </w:pPr>
      <w:r w:rsidRPr="00335FE8">
        <w:rPr>
          <w:rFonts w:ascii="宋体" w:hAnsi="宋体" w:hint="eastAsia"/>
          <w:b/>
          <w:sz w:val="21"/>
          <w:szCs w:val="21"/>
        </w:rPr>
        <w:t>银华裕利混合发起式</w:t>
      </w:r>
    </w:p>
    <w:tbl>
      <w:tblPr>
        <w:tblStyle w:val="a6"/>
        <w:tblW w:w="9308"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746"/>
        <w:gridCol w:w="2819"/>
        <w:gridCol w:w="1754"/>
        <w:gridCol w:w="1989"/>
      </w:tblGrid>
      <w:tr w:rsidR="00C02E1B" w:rsidRPr="00943B76" w:rsidTr="00AE7CEB">
        <w:trPr>
          <w:jc w:val="center"/>
        </w:trPr>
        <w:tc>
          <w:tcPr>
            <w:tcW w:w="2930" w:type="dxa"/>
            <w:tcBorders>
              <w:left w:val="nil"/>
              <w:bottom w:val="dotted" w:sz="4" w:space="0" w:color="auto"/>
              <w:right w:val="nil"/>
            </w:tcBorders>
          </w:tcPr>
          <w:p w:rsidR="00C02E1B" w:rsidRPr="00F03BC3" w:rsidRDefault="000F26EF" w:rsidP="0003056B">
            <w:pPr>
              <w:autoSpaceDE w:val="0"/>
              <w:autoSpaceDN w:val="0"/>
              <w:adjustRightInd w:val="0"/>
              <w:jc w:val="center"/>
              <w:rPr>
                <w:rFonts w:ascii="宋体" w:hAnsi="宋体"/>
                <w:b/>
                <w:sz w:val="21"/>
                <w:szCs w:val="21"/>
              </w:rPr>
            </w:pPr>
            <w:r w:rsidRPr="00F03BC3">
              <w:rPr>
                <w:rFonts w:ascii="宋体" w:hAnsi="宋体" w:hint="eastAsia"/>
                <w:b/>
                <w:sz w:val="21"/>
                <w:szCs w:val="21"/>
              </w:rPr>
              <w:t>费用类型</w:t>
            </w:r>
          </w:p>
        </w:tc>
        <w:tc>
          <w:tcPr>
            <w:tcW w:w="2409" w:type="dxa"/>
            <w:tcBorders>
              <w:left w:val="nil"/>
              <w:bottom w:val="dotted" w:sz="4" w:space="0" w:color="auto"/>
              <w:right w:val="nil"/>
            </w:tcBorders>
          </w:tcPr>
          <w:p w:rsidR="00C02E1B" w:rsidRPr="00F03BC3" w:rsidRDefault="000F26EF" w:rsidP="0003056B">
            <w:pPr>
              <w:autoSpaceDE w:val="0"/>
              <w:autoSpaceDN w:val="0"/>
              <w:adjustRightInd w:val="0"/>
              <w:jc w:val="center"/>
              <w:rPr>
                <w:rFonts w:ascii="宋体" w:hAnsi="宋体"/>
                <w:b/>
                <w:sz w:val="21"/>
                <w:szCs w:val="21"/>
              </w:rPr>
            </w:pPr>
            <w:r w:rsidRPr="00F03BC3">
              <w:rPr>
                <w:rFonts w:ascii="宋体" w:hAnsi="宋体" w:hint="eastAsia"/>
                <w:b/>
                <w:sz w:val="21"/>
                <w:szCs w:val="21"/>
              </w:rPr>
              <w:t>份额（</w:t>
            </w:r>
            <w:r w:rsidRPr="00F03BC3">
              <w:rPr>
                <w:rFonts w:ascii="宋体" w:hAnsi="宋体" w:hint="eastAsia"/>
                <w:b/>
                <w:sz w:val="21"/>
                <w:szCs w:val="21"/>
              </w:rPr>
              <w:t>S</w:t>
            </w:r>
            <w:r w:rsidRPr="00F03BC3">
              <w:rPr>
                <w:rFonts w:ascii="宋体" w:hAnsi="宋体" w:hint="eastAsia"/>
                <w:b/>
                <w:sz w:val="21"/>
                <w:szCs w:val="21"/>
              </w:rPr>
              <w:t>）或金额（</w:t>
            </w:r>
            <w:r w:rsidRPr="00F03BC3">
              <w:rPr>
                <w:rFonts w:ascii="宋体" w:hAnsi="宋体" w:hint="eastAsia"/>
                <w:b/>
                <w:sz w:val="21"/>
                <w:szCs w:val="21"/>
              </w:rPr>
              <w:t>M</w:t>
            </w:r>
            <w:r w:rsidRPr="00F03BC3">
              <w:rPr>
                <w:rFonts w:ascii="宋体" w:hAnsi="宋体" w:hint="eastAsia"/>
                <w:b/>
                <w:sz w:val="21"/>
                <w:szCs w:val="21"/>
              </w:rPr>
              <w:t>）</w:t>
            </w:r>
            <w:r w:rsidRPr="00F03BC3">
              <w:rPr>
                <w:rFonts w:ascii="宋体" w:hAnsi="宋体" w:hint="eastAsia"/>
                <w:b/>
                <w:sz w:val="21"/>
                <w:szCs w:val="21"/>
              </w:rPr>
              <w:t>/</w:t>
            </w:r>
            <w:r w:rsidRPr="00F03BC3">
              <w:rPr>
                <w:rFonts w:ascii="宋体" w:hAnsi="宋体" w:hint="eastAsia"/>
                <w:b/>
                <w:sz w:val="21"/>
                <w:szCs w:val="21"/>
              </w:rPr>
              <w:t>持有期限（</w:t>
            </w:r>
            <w:r w:rsidRPr="00F03BC3">
              <w:rPr>
                <w:rFonts w:ascii="宋体" w:hAnsi="宋体" w:hint="eastAsia"/>
                <w:b/>
                <w:sz w:val="21"/>
                <w:szCs w:val="21"/>
              </w:rPr>
              <w:t>N</w:t>
            </w:r>
            <w:r w:rsidRPr="00F03BC3">
              <w:rPr>
                <w:rFonts w:ascii="宋体" w:hAnsi="宋体" w:hint="eastAsia"/>
                <w:b/>
                <w:sz w:val="21"/>
                <w:szCs w:val="21"/>
              </w:rPr>
              <w:t>）</w:t>
            </w:r>
          </w:p>
        </w:tc>
        <w:tc>
          <w:tcPr>
            <w:tcW w:w="1843" w:type="dxa"/>
            <w:tcBorders>
              <w:left w:val="nil"/>
              <w:bottom w:val="dotted" w:sz="4" w:space="0" w:color="auto"/>
              <w:right w:val="nil"/>
            </w:tcBorders>
          </w:tcPr>
          <w:p w:rsidR="00C02E1B" w:rsidRPr="00F03BC3" w:rsidRDefault="000F26EF" w:rsidP="0003056B">
            <w:pPr>
              <w:autoSpaceDE w:val="0"/>
              <w:autoSpaceDN w:val="0"/>
              <w:adjustRightInd w:val="0"/>
              <w:jc w:val="center"/>
              <w:rPr>
                <w:rFonts w:ascii="宋体" w:hAnsi="宋体"/>
                <w:b/>
                <w:sz w:val="21"/>
                <w:szCs w:val="21"/>
              </w:rPr>
            </w:pPr>
            <w:r w:rsidRPr="00F03BC3">
              <w:rPr>
                <w:rFonts w:ascii="宋体" w:hAnsi="宋体" w:hint="eastAsia"/>
                <w:b/>
                <w:sz w:val="21"/>
                <w:szCs w:val="21"/>
              </w:rPr>
              <w:t>收费方式</w:t>
            </w:r>
            <w:r w:rsidRPr="00F03BC3">
              <w:rPr>
                <w:rFonts w:ascii="宋体" w:hAnsi="宋体" w:hint="eastAsia"/>
                <w:b/>
                <w:sz w:val="21"/>
                <w:szCs w:val="21"/>
              </w:rPr>
              <w:t>/</w:t>
            </w:r>
            <w:r w:rsidRPr="00F03BC3">
              <w:rPr>
                <w:rFonts w:ascii="宋体" w:hAnsi="宋体" w:hint="eastAsia"/>
                <w:b/>
                <w:sz w:val="21"/>
                <w:szCs w:val="21"/>
              </w:rPr>
              <w:t>费率</w:t>
            </w:r>
          </w:p>
        </w:tc>
        <w:tc>
          <w:tcPr>
            <w:tcW w:w="2126" w:type="dxa"/>
            <w:tcBorders>
              <w:left w:val="nil"/>
              <w:bottom w:val="dotted" w:sz="4" w:space="0" w:color="auto"/>
              <w:right w:val="nil"/>
            </w:tcBorders>
          </w:tcPr>
          <w:p w:rsidR="00C02E1B" w:rsidRPr="00F03BC3" w:rsidRDefault="000F26EF" w:rsidP="0003056B">
            <w:pPr>
              <w:autoSpaceDE w:val="0"/>
              <w:autoSpaceDN w:val="0"/>
              <w:adjustRightInd w:val="0"/>
              <w:jc w:val="center"/>
              <w:rPr>
                <w:rFonts w:ascii="宋体" w:hAnsi="宋体"/>
                <w:b/>
                <w:sz w:val="21"/>
                <w:szCs w:val="21"/>
              </w:rPr>
            </w:pPr>
            <w:r w:rsidRPr="00F03BC3">
              <w:rPr>
                <w:rFonts w:ascii="宋体" w:hAnsi="宋体" w:hint="eastAsia"/>
                <w:b/>
                <w:sz w:val="21"/>
                <w:szCs w:val="21"/>
              </w:rPr>
              <w:t>备注</w:t>
            </w:r>
          </w:p>
        </w:tc>
      </w:tr>
      <w:tr w:rsidR="009C0C41" w:rsidRPr="00335FE8" w:rsidTr="009C0C41">
        <w:trPr>
          <w:jc w:val="center"/>
        </w:trPr>
        <w:tc>
          <w:tcPr>
            <w:tcW w:w="2930" w:type="dxa"/>
            <w:vMerge w:val="restart"/>
            <w:vAlign w:val="center"/>
          </w:tcPr>
          <w:p w:rsidR="009C0C41" w:rsidRPr="00335FE8" w:rsidRDefault="009C0C41" w:rsidP="00D373CC">
            <w:pPr>
              <w:widowControl/>
              <w:jc w:val="left"/>
              <w:rPr>
                <w:rFonts w:ascii="宋体" w:eastAsia="宋体" w:hAnsi="宋体" w:cs="宋体"/>
                <w:b/>
                <w:kern w:val="0"/>
                <w:sz w:val="21"/>
                <w:szCs w:val="21"/>
              </w:rPr>
            </w:pPr>
            <w:r w:rsidRPr="00335FE8">
              <w:rPr>
                <w:rFonts w:ascii="宋体" w:eastAsia="宋体" w:hAnsi="宋体" w:cs="宋体" w:hint="eastAsia"/>
                <w:b/>
                <w:kern w:val="0"/>
                <w:sz w:val="21"/>
                <w:szCs w:val="21"/>
              </w:rPr>
              <w:t>申购费（前收费）</w:t>
            </w: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M＜100万元</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1.50%</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300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100万元≤M＜200万元</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1.00%</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300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200万元≤M＜500万元</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0.60%</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300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500万元≤M</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1,000元每笔</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2930" w:type="dxa"/>
            <w:vMerge w:val="restart"/>
            <w:vAlign w:val="center"/>
          </w:tcPr>
          <w:p w:rsidR="009C0C41" w:rsidRPr="00335FE8" w:rsidRDefault="009C0C41" w:rsidP="00D373CC">
            <w:pPr>
              <w:widowControl/>
              <w:jc w:val="left"/>
              <w:rPr>
                <w:rFonts w:ascii="宋体" w:eastAsia="宋体" w:hAnsi="宋体" w:cs="宋体"/>
                <w:b/>
                <w:kern w:val="0"/>
                <w:sz w:val="21"/>
                <w:szCs w:val="21"/>
              </w:rPr>
            </w:pPr>
            <w:r w:rsidRPr="00335FE8">
              <w:rPr>
                <w:rFonts w:ascii="宋体" w:eastAsia="宋体" w:hAnsi="宋体" w:cs="宋体" w:hint="eastAsia"/>
                <w:b/>
                <w:kern w:val="0"/>
                <w:sz w:val="21"/>
                <w:szCs w:val="21"/>
              </w:rPr>
              <w:t>赎回费</w:t>
            </w: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N＜7天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1.50%</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7天≤N＜30天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0.75%</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30天≤N＜365天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0.50%</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365天≤N＜730天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0.25%</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730天≤N</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w:t>
            </w:r>
          </w:p>
        </w:tc>
        <w:tc>
          <w:tcPr>
            <w:tcW w:w="1843" w:type="dxa"/>
            <w:vAlign w:val="center"/>
          </w:tcPr>
          <w:p w:rsidR="009C0C41" w:rsidRPr="00335FE8" w:rsidRDefault="009C0C41" w:rsidP="00D373CC">
            <w:pPr>
              <w:rPr>
                <w:rFonts w:ascii="宋体" w:eastAsia="宋体" w:hAnsi="宋体" w:cs="宋体"/>
                <w:sz w:val="21"/>
                <w:szCs w:val="21"/>
              </w:rPr>
            </w:pPr>
          </w:p>
        </w:tc>
      </w:tr>
    </w:tbl>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（二）基金运作相关费用</w:t>
      </w:r>
    </w:p>
    <w:p w:rsidR="00D373CC" w:rsidRPr="00335FE8" w:rsidRDefault="00D373CC" w:rsidP="00D373CC">
      <w:pPr>
        <w:jc w:val="left"/>
        <w:rPr>
          <w:rFonts w:ascii="宋体" w:eastAsia="宋体" w:hAnsi="宋体" w:cs="宋体"/>
          <w:kern w:val="0"/>
          <w:sz w:val="21"/>
          <w:szCs w:val="21"/>
        </w:rPr>
      </w:pPr>
      <w:r w:rsidRPr="00335FE8">
        <w:rPr>
          <w:rFonts w:ascii="宋体" w:eastAsia="宋体" w:hAnsi="宋体" w:cs="宋体" w:hint="eastAsia"/>
          <w:kern w:val="0"/>
          <w:sz w:val="21"/>
          <w:szCs w:val="21"/>
        </w:rPr>
        <w:t>以下费用将从基金资产中扣除：</w:t>
      </w:r>
    </w:p>
    <w:tbl>
      <w:tblPr>
        <w:tblW w:w="93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047"/>
      </w:tblGrid>
      <w:tr w:rsidR="00143453" w:rsidRPr="00943B76" w:rsidTr="00537D02">
        <w:tc>
          <w:tcPr>
            <w:tcW w:w="3261" w:type="dxa"/>
            <w:tcBorders>
              <w:top w:val="single" w:sz="4" w:space="0" w:color="auto"/>
            </w:tcBorders>
          </w:tcPr>
          <w:p w:rsidR="00143453" w:rsidRPr="00F03BC3" w:rsidRDefault="000F26EF" w:rsidP="0003056B">
            <w:pPr>
              <w:autoSpaceDE w:val="0"/>
              <w:autoSpaceDN w:val="0"/>
              <w:adjustRightInd w:val="0"/>
              <w:rPr>
                <w:rFonts w:ascii="宋体" w:hAnsi="宋体"/>
                <w:b/>
                <w:sz w:val="21"/>
                <w:szCs w:val="21"/>
              </w:rPr>
            </w:pPr>
            <w:r w:rsidRPr="00F03BC3">
              <w:rPr>
                <w:rFonts w:ascii="宋体" w:hAnsi="宋体" w:hint="eastAsia"/>
                <w:b/>
                <w:sz w:val="21"/>
                <w:szCs w:val="21"/>
              </w:rPr>
              <w:t>费用类别</w:t>
            </w:r>
          </w:p>
        </w:tc>
        <w:tc>
          <w:tcPr>
            <w:tcW w:w="6047" w:type="dxa"/>
            <w:tcBorders>
              <w:top w:val="single" w:sz="4" w:space="0" w:color="auto"/>
            </w:tcBorders>
          </w:tcPr>
          <w:p w:rsidR="00143453" w:rsidRPr="00F03BC3" w:rsidRDefault="000F26EF" w:rsidP="0003056B">
            <w:pPr>
              <w:autoSpaceDE w:val="0"/>
              <w:autoSpaceDN w:val="0"/>
              <w:adjustRightInd w:val="0"/>
              <w:jc w:val="center"/>
              <w:rPr>
                <w:rFonts w:ascii="宋体" w:hAnsi="宋体"/>
                <w:b/>
                <w:sz w:val="21"/>
                <w:szCs w:val="21"/>
              </w:rPr>
            </w:pPr>
            <w:r w:rsidRPr="00F03BC3">
              <w:rPr>
                <w:rFonts w:ascii="宋体" w:hAnsi="宋体" w:hint="eastAsia"/>
                <w:b/>
                <w:sz w:val="21"/>
                <w:szCs w:val="21"/>
              </w:rPr>
              <w:t>收费方式</w:t>
            </w:r>
            <w:r w:rsidRPr="00F03BC3">
              <w:rPr>
                <w:rFonts w:ascii="宋体" w:hAnsi="宋体" w:hint="eastAsia"/>
                <w:b/>
                <w:sz w:val="21"/>
                <w:szCs w:val="21"/>
              </w:rPr>
              <w:t>/</w:t>
            </w:r>
            <w:r w:rsidRPr="00F03BC3">
              <w:rPr>
                <w:rFonts w:ascii="宋体" w:hAnsi="宋体" w:hint="eastAsia"/>
                <w:b/>
                <w:sz w:val="21"/>
                <w:szCs w:val="21"/>
              </w:rPr>
              <w:t>年费率</w:t>
            </w:r>
          </w:p>
        </w:tc>
      </w:tr>
      <w:tr w:rsidR="00C9008A" w:rsidRPr="00943B76" w:rsidTr="00537D02">
        <w:tc>
          <w:tcPr>
            <w:tcW w:w="3261" w:type="dxa"/>
            <w:vAlign w:val="center"/>
          </w:tcPr>
          <w:p w:rsidR="00C9008A" w:rsidRPr="00F03BC3" w:rsidRDefault="000F26EF" w:rsidP="0003056B">
            <w:pPr>
              <w:autoSpaceDE w:val="0"/>
              <w:autoSpaceDN w:val="0"/>
              <w:adjustRightInd w:val="0"/>
              <w:rPr>
                <w:rFonts w:ascii="宋体" w:hAnsi="宋体"/>
                <w:b/>
                <w:sz w:val="21"/>
                <w:szCs w:val="21"/>
              </w:rPr>
            </w:pPr>
            <w:r w:rsidRPr="00F03BC3">
              <w:rPr>
                <w:rFonts w:ascii="宋体" w:hAnsi="宋体" w:hint="eastAsia"/>
                <w:b/>
                <w:sz w:val="21"/>
                <w:szCs w:val="21"/>
              </w:rPr>
              <w:t>管理费</w:t>
            </w:r>
          </w:p>
        </w:tc>
        <w:tc>
          <w:tcPr>
            <w:tcW w:w="6047" w:type="dxa"/>
          </w:tcPr>
          <w:p w:rsidR="00C9008A" w:rsidRPr="00943B76" w:rsidRDefault="000F26EF" w:rsidP="00C9008A">
            <w:pPr>
              <w:autoSpaceDE w:val="0"/>
              <w:autoSpaceDN w:val="0"/>
              <w:adjustRightInd w:val="0"/>
              <w:jc w:val="center"/>
              <w:rPr>
                <w:rFonts w:ascii="宋体" w:hAnsi="宋体"/>
                <w:sz w:val="21"/>
                <w:szCs w:val="21"/>
              </w:rPr>
            </w:pPr>
            <w:r>
              <w:rPr>
                <w:rFonts w:ascii="宋体" w:hAnsi="宋体"/>
                <w:sz w:val="21"/>
                <w:szCs w:val="21"/>
              </w:rPr>
              <w:t>1.50%</w:t>
            </w:r>
          </w:p>
        </w:tc>
      </w:tr>
      <w:tr w:rsidR="00C9008A" w:rsidRPr="00943B76" w:rsidTr="00537D02">
        <w:tc>
          <w:tcPr>
            <w:tcW w:w="3261" w:type="dxa"/>
            <w:vAlign w:val="center"/>
          </w:tcPr>
          <w:p w:rsidR="00C9008A" w:rsidRPr="00F03BC3" w:rsidRDefault="000F26EF" w:rsidP="0003056B">
            <w:pPr>
              <w:autoSpaceDE w:val="0"/>
              <w:autoSpaceDN w:val="0"/>
              <w:adjustRightInd w:val="0"/>
              <w:rPr>
                <w:rFonts w:ascii="宋体" w:hAnsi="宋体"/>
                <w:b/>
                <w:sz w:val="21"/>
                <w:szCs w:val="21"/>
              </w:rPr>
            </w:pPr>
            <w:r w:rsidRPr="00F03BC3">
              <w:rPr>
                <w:rFonts w:ascii="宋体" w:hAnsi="宋体" w:hint="eastAsia"/>
                <w:b/>
                <w:sz w:val="21"/>
                <w:szCs w:val="21"/>
              </w:rPr>
              <w:t>托管费</w:t>
            </w:r>
          </w:p>
        </w:tc>
        <w:tc>
          <w:tcPr>
            <w:tcW w:w="6047" w:type="dxa"/>
          </w:tcPr>
          <w:p w:rsidR="00C9008A" w:rsidRPr="00943B76" w:rsidRDefault="000F26EF" w:rsidP="00C9008A">
            <w:pPr>
              <w:autoSpaceDE w:val="0"/>
              <w:autoSpaceDN w:val="0"/>
              <w:adjustRightInd w:val="0"/>
              <w:jc w:val="center"/>
              <w:rPr>
                <w:rFonts w:ascii="宋体" w:hAnsi="宋体"/>
                <w:sz w:val="21"/>
                <w:szCs w:val="21"/>
              </w:rPr>
            </w:pPr>
            <w:r>
              <w:rPr>
                <w:rFonts w:ascii="宋体" w:hAnsi="宋体"/>
                <w:sz w:val="21"/>
                <w:szCs w:val="21"/>
              </w:rPr>
              <w:t>0.25%</w:t>
            </w:r>
          </w:p>
        </w:tc>
      </w:tr>
      <w:tr w:rsidR="00925EFB" w:rsidRPr="00943B76" w:rsidTr="00537D02">
        <w:tc>
          <w:tcPr>
            <w:tcW w:w="3261" w:type="dxa"/>
            <w:tcBorders>
              <w:bottom w:val="single" w:sz="4" w:space="0" w:color="auto"/>
            </w:tcBorders>
            <w:vAlign w:val="center"/>
          </w:tcPr>
          <w:p w:rsidR="00925EFB" w:rsidRPr="00F03BC3" w:rsidRDefault="000F26EF" w:rsidP="0003056B">
            <w:pPr>
              <w:autoSpaceDE w:val="0"/>
              <w:autoSpaceDN w:val="0"/>
              <w:adjustRightInd w:val="0"/>
              <w:rPr>
                <w:rFonts w:ascii="宋体" w:hAnsi="宋体"/>
                <w:b/>
                <w:sz w:val="21"/>
                <w:szCs w:val="21"/>
              </w:rPr>
            </w:pPr>
            <w:r>
              <w:rPr>
                <w:rFonts w:ascii="宋体" w:hAnsi="宋体"/>
                <w:b/>
                <w:sz w:val="21"/>
                <w:szCs w:val="21"/>
              </w:rPr>
              <w:t>其他费用</w:t>
            </w:r>
          </w:p>
        </w:tc>
        <w:tc>
          <w:tcPr>
            <w:tcW w:w="6047" w:type="dxa"/>
            <w:tcBorders>
              <w:bottom w:val="single" w:sz="4" w:space="0" w:color="auto"/>
            </w:tcBorders>
          </w:tcPr>
          <w:p w:rsidR="00925EFB" w:rsidRPr="00943B76" w:rsidRDefault="000F26EF" w:rsidP="00925EFB">
            <w:pPr>
              <w:autoSpaceDE w:val="0"/>
              <w:autoSpaceDN w:val="0"/>
              <w:adjustRightInd w:val="0"/>
              <w:jc w:val="center"/>
              <w:rPr>
                <w:rFonts w:ascii="宋体" w:hAnsi="宋体"/>
                <w:sz w:val="21"/>
                <w:szCs w:val="21"/>
              </w:rPr>
            </w:pPr>
            <w:r>
              <w:rPr>
                <w:rFonts w:ascii="宋体" w:hAnsi="宋体"/>
                <w:sz w:val="21"/>
                <w:szCs w:val="21"/>
              </w:rPr>
              <w:t>信息披露费、审计费等，详见本基金招募说明书（更新）</w:t>
            </w:r>
            <w:r>
              <w:rPr>
                <w:rFonts w:ascii="宋体" w:hAnsi="宋体"/>
                <w:sz w:val="21"/>
                <w:szCs w:val="21"/>
              </w:rPr>
              <w:t>“</w:t>
            </w:r>
            <w:r>
              <w:rPr>
                <w:rFonts w:ascii="宋体" w:hAnsi="宋体"/>
                <w:sz w:val="21"/>
                <w:szCs w:val="21"/>
              </w:rPr>
              <w:t>基金的费用与税收</w:t>
            </w:r>
            <w:r>
              <w:rPr>
                <w:rFonts w:ascii="宋体" w:hAnsi="宋体"/>
                <w:sz w:val="21"/>
                <w:szCs w:val="21"/>
              </w:rPr>
              <w:t xml:space="preserve">” </w:t>
            </w:r>
            <w:r>
              <w:rPr>
                <w:rFonts w:ascii="宋体" w:hAnsi="宋体"/>
                <w:sz w:val="21"/>
                <w:szCs w:val="21"/>
              </w:rPr>
              <w:t>章节。</w:t>
            </w:r>
          </w:p>
        </w:tc>
      </w:tr>
    </w:tbl>
    <w:p w:rsidR="00D373CC" w:rsidRPr="00335FE8" w:rsidRDefault="00F811C4" w:rsidP="00D373CC">
      <w:pPr>
        <w:jc w:val="left"/>
        <w:rPr>
          <w:rFonts w:ascii="宋体" w:eastAsia="宋体" w:hAnsi="宋体" w:cs="宋体"/>
          <w:sz w:val="21"/>
          <w:szCs w:val="21"/>
        </w:rPr>
      </w:pPr>
      <w:r w:rsidRPr="00335FE8">
        <w:rPr>
          <w:rFonts w:ascii="宋体" w:eastAsia="宋体" w:hAnsi="宋体" w:cs="宋体" w:hint="eastAsia"/>
          <w:b/>
          <w:sz w:val="21"/>
          <w:szCs w:val="21"/>
        </w:rPr>
        <w:t>注：</w:t>
      </w:r>
      <w:r w:rsidRPr="00335FE8">
        <w:rPr>
          <w:rFonts w:ascii="宋体" w:eastAsia="宋体" w:hAnsi="宋体" w:cs="宋体" w:hint="eastAsia"/>
          <w:sz w:val="21"/>
          <w:szCs w:val="21"/>
        </w:rPr>
        <w:t>本基金交易证券、基金等产生的费用和税负，按实际发生额从基金资产扣除。</w:t>
      </w:r>
    </w:p>
    <w:p w:rsidR="00A25588" w:rsidRPr="00D355FC" w:rsidRDefault="000F26EF" w:rsidP="0003056B">
      <w:pPr>
        <w:rPr>
          <w:rFonts w:ascii="宋体" w:hAnsi="宋体" w:cs="宋体"/>
          <w:b/>
          <w:iCs/>
          <w:sz w:val="21"/>
          <w:szCs w:val="21"/>
        </w:rPr>
      </w:pPr>
      <w:r w:rsidRPr="00D355FC">
        <w:rPr>
          <w:rFonts w:ascii="宋体" w:hAnsi="宋体" w:cs="宋体" w:hint="eastAsia"/>
          <w:b/>
          <w:iCs/>
          <w:sz w:val="21"/>
          <w:szCs w:val="21"/>
        </w:rPr>
        <w:t>四、风险揭示与重要提示</w:t>
      </w:r>
    </w:p>
    <w:p w:rsidR="00A25588" w:rsidRPr="00D355FC" w:rsidRDefault="000F26EF" w:rsidP="0003056B">
      <w:pPr>
        <w:rPr>
          <w:rFonts w:ascii="宋体" w:hAnsi="宋体" w:cs="宋体"/>
          <w:b/>
          <w:iCs/>
          <w:sz w:val="21"/>
          <w:szCs w:val="21"/>
        </w:rPr>
      </w:pPr>
      <w:r w:rsidRPr="00D355FC">
        <w:rPr>
          <w:rFonts w:ascii="宋体" w:hAnsi="宋体" w:cs="宋体" w:hint="eastAsia"/>
          <w:b/>
          <w:iCs/>
          <w:sz w:val="21"/>
          <w:szCs w:val="24"/>
        </w:rPr>
        <w:t>（一）风险揭示</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本基金不提供任何保证。投资者可能损失本金。</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投资有风险，</w:t>
      </w:r>
      <w:r>
        <w:rPr>
          <w:rFonts w:ascii="宋体" w:hAnsi="宋体" w:hint="eastAsia"/>
          <w:sz w:val="21"/>
          <w:szCs w:val="21"/>
        </w:rPr>
        <w:t xml:space="preserve"> </w:t>
      </w:r>
      <w:r>
        <w:rPr>
          <w:rFonts w:ascii="宋体" w:hAnsi="宋体" w:hint="eastAsia"/>
          <w:sz w:val="21"/>
          <w:szCs w:val="21"/>
        </w:rPr>
        <w:t>投资者购买基金时应认真阅读本基金的《招募说明书》等销售文件。</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本基金的特有风险，包括：</w:t>
      </w:r>
      <w:r>
        <w:rPr>
          <w:rFonts w:ascii="宋体" w:hAnsi="宋体" w:hint="eastAsia"/>
          <w:sz w:val="21"/>
          <w:szCs w:val="21"/>
        </w:rPr>
        <w:t>1</w:t>
      </w:r>
      <w:r>
        <w:rPr>
          <w:rFonts w:ascii="宋体" w:hAnsi="宋体" w:hint="eastAsia"/>
          <w:sz w:val="21"/>
          <w:szCs w:val="21"/>
        </w:rPr>
        <w:t>、基金合同终止的风险，本基金基金合同在特定情况下可能终止，基金份额持有人面临基金合同终止的风险。基金合同生效之日起三年后的对应自然日，若基金资产规模低于</w:t>
      </w:r>
      <w:r>
        <w:rPr>
          <w:rFonts w:ascii="宋体" w:hAnsi="宋体" w:hint="eastAsia"/>
          <w:sz w:val="21"/>
          <w:szCs w:val="21"/>
        </w:rPr>
        <w:t>2</w:t>
      </w:r>
      <w:r>
        <w:rPr>
          <w:rFonts w:ascii="宋体" w:hAnsi="宋体" w:hint="eastAsia"/>
          <w:sz w:val="21"/>
          <w:szCs w:val="21"/>
        </w:rPr>
        <w:t>亿元，基金合同应当按照基金合同约定的程序进行清算并终止，且不得通过召开基金持有人大会的方式延续。若届时的法律法规或中国证监会规定发生变化，上述终止规定被取消、更改或补充时，则本基金可以参照届时有效的法律法规或中国证监会规定执行；</w:t>
      </w:r>
      <w:r>
        <w:rPr>
          <w:rFonts w:ascii="宋体" w:hAnsi="宋体" w:hint="eastAsia"/>
          <w:sz w:val="21"/>
          <w:szCs w:val="21"/>
        </w:rPr>
        <w:t>2</w:t>
      </w:r>
      <w:r>
        <w:rPr>
          <w:rFonts w:ascii="宋体" w:hAnsi="宋体" w:hint="eastAsia"/>
          <w:sz w:val="21"/>
          <w:szCs w:val="21"/>
        </w:rPr>
        <w:t>、混合型基金存在的风险，本基金为混合型基金，资产配置策略对基金的投资业绩具有较大的影响。在类别资产配置</w:t>
      </w:r>
      <w:r>
        <w:rPr>
          <w:rFonts w:ascii="宋体" w:hAnsi="宋体" w:hint="eastAsia"/>
          <w:sz w:val="21"/>
          <w:szCs w:val="21"/>
        </w:rPr>
        <w:t>中可能会由于市场环境、公司治理、制度建设等因素的不同影响，导致资产配置偏离优化水平，为组合绩效带来风险；</w:t>
      </w:r>
      <w:r>
        <w:rPr>
          <w:rFonts w:ascii="宋体" w:hAnsi="宋体" w:hint="eastAsia"/>
          <w:sz w:val="21"/>
          <w:szCs w:val="21"/>
        </w:rPr>
        <w:t>3</w:t>
      </w:r>
      <w:r>
        <w:rPr>
          <w:rFonts w:ascii="宋体" w:hAnsi="宋体" w:hint="eastAsia"/>
          <w:sz w:val="21"/>
          <w:szCs w:val="21"/>
        </w:rPr>
        <w:t>、港股通机制下，港股通标的股票投资面临的风险，本基金将通过港股通机制投资于香港联合交易所（以下简称：“香港联交所”）上市的股票，但基金资产并非必然投资港股通标的股票。基金资产投资港股通标的股票，除与其他投资于内地市场股票的基金所面临的共同风险外，本基金还面临港股通机制下因投资环境、投资者结构、投资标的构成、市场制度、交易规则以及税收政策等差异所带来的特有风险，包括但不限于：（</w:t>
      </w:r>
      <w:r>
        <w:rPr>
          <w:rFonts w:ascii="宋体" w:hAnsi="宋体" w:hint="eastAsia"/>
          <w:sz w:val="21"/>
          <w:szCs w:val="21"/>
        </w:rPr>
        <w:t>1</w:t>
      </w:r>
      <w:r>
        <w:rPr>
          <w:rFonts w:ascii="宋体" w:hAnsi="宋体" w:hint="eastAsia"/>
          <w:sz w:val="21"/>
          <w:szCs w:val="21"/>
        </w:rPr>
        <w:t>）港股价格波动的风险；（</w:t>
      </w:r>
      <w:r>
        <w:rPr>
          <w:rFonts w:ascii="宋体" w:hAnsi="宋体" w:hint="eastAsia"/>
          <w:sz w:val="21"/>
          <w:szCs w:val="21"/>
        </w:rPr>
        <w:t>2</w:t>
      </w:r>
      <w:r>
        <w:rPr>
          <w:rFonts w:ascii="宋体" w:hAnsi="宋体" w:hint="eastAsia"/>
          <w:sz w:val="21"/>
          <w:szCs w:val="21"/>
        </w:rPr>
        <w:t>）汇率风险；（</w:t>
      </w:r>
      <w:r>
        <w:rPr>
          <w:rFonts w:ascii="宋体" w:hAnsi="宋体" w:hint="eastAsia"/>
          <w:sz w:val="21"/>
          <w:szCs w:val="21"/>
        </w:rPr>
        <w:t>3</w:t>
      </w:r>
      <w:r>
        <w:rPr>
          <w:rFonts w:ascii="宋体" w:hAnsi="宋体" w:hint="eastAsia"/>
          <w:sz w:val="21"/>
          <w:szCs w:val="21"/>
        </w:rPr>
        <w:t>）港股通交易日风险；（</w:t>
      </w:r>
      <w:r>
        <w:rPr>
          <w:rFonts w:ascii="宋体" w:hAnsi="宋体" w:hint="eastAsia"/>
          <w:sz w:val="21"/>
          <w:szCs w:val="21"/>
        </w:rPr>
        <w:t>4</w:t>
      </w:r>
      <w:r>
        <w:rPr>
          <w:rFonts w:ascii="宋体" w:hAnsi="宋体" w:hint="eastAsia"/>
          <w:sz w:val="21"/>
          <w:szCs w:val="21"/>
        </w:rPr>
        <w:t>）港股通额度限制带来的风险；（</w:t>
      </w:r>
      <w:r>
        <w:rPr>
          <w:rFonts w:ascii="宋体" w:hAnsi="宋体" w:hint="eastAsia"/>
          <w:sz w:val="21"/>
          <w:szCs w:val="21"/>
        </w:rPr>
        <w:t>5</w:t>
      </w:r>
      <w:r>
        <w:rPr>
          <w:rFonts w:ascii="宋体" w:hAnsi="宋体" w:hint="eastAsia"/>
          <w:sz w:val="21"/>
          <w:szCs w:val="21"/>
        </w:rPr>
        <w:t>）交收制度带来的基金流动性风险；（</w:t>
      </w:r>
      <w:r>
        <w:rPr>
          <w:rFonts w:ascii="宋体" w:hAnsi="宋体" w:hint="eastAsia"/>
          <w:sz w:val="21"/>
          <w:szCs w:val="21"/>
        </w:rPr>
        <w:t>6</w:t>
      </w:r>
      <w:r>
        <w:rPr>
          <w:rFonts w:ascii="宋体" w:hAnsi="宋体" w:hint="eastAsia"/>
          <w:sz w:val="21"/>
          <w:szCs w:val="21"/>
        </w:rPr>
        <w:t>）港股通制度下对公司行为的处理规则带来的风险；</w:t>
      </w:r>
      <w:r>
        <w:rPr>
          <w:rFonts w:ascii="宋体" w:hAnsi="宋体" w:hint="eastAsia"/>
          <w:sz w:val="21"/>
          <w:szCs w:val="21"/>
        </w:rPr>
        <w:t>4</w:t>
      </w:r>
      <w:r>
        <w:rPr>
          <w:rFonts w:ascii="宋体" w:hAnsi="宋体" w:hint="eastAsia"/>
          <w:sz w:val="21"/>
          <w:szCs w:val="21"/>
        </w:rPr>
        <w:t>、非必然投资港股的风险，本基金</w:t>
      </w:r>
      <w:r>
        <w:rPr>
          <w:rFonts w:ascii="宋体" w:hAnsi="宋体" w:hint="eastAsia"/>
          <w:sz w:val="21"/>
          <w:szCs w:val="21"/>
        </w:rPr>
        <w:lastRenderedPageBreak/>
        <w:t>港股通标的的投资比例为股票资产的</w:t>
      </w:r>
      <w:r>
        <w:rPr>
          <w:rFonts w:ascii="宋体" w:hAnsi="宋体" w:hint="eastAsia"/>
          <w:sz w:val="21"/>
          <w:szCs w:val="21"/>
        </w:rPr>
        <w:t>0-50%</w:t>
      </w:r>
      <w:r>
        <w:rPr>
          <w:rFonts w:ascii="宋体" w:hAnsi="宋体" w:hint="eastAsia"/>
          <w:sz w:val="21"/>
          <w:szCs w:val="21"/>
        </w:rPr>
        <w:t>，因此本基金可根据投资策略需要或不同配置地市场环境的变化，选择将部分基金资产投资于港股或选择不将基金资产投资于港股，基金资产并非必然投资港股；</w:t>
      </w:r>
      <w:r>
        <w:rPr>
          <w:rFonts w:ascii="宋体" w:hAnsi="宋体" w:hint="eastAsia"/>
          <w:sz w:val="21"/>
          <w:szCs w:val="21"/>
        </w:rPr>
        <w:t>5</w:t>
      </w:r>
      <w:r>
        <w:rPr>
          <w:rFonts w:ascii="宋体" w:hAnsi="宋体" w:hint="eastAsia"/>
          <w:sz w:val="21"/>
          <w:szCs w:val="21"/>
        </w:rPr>
        <w:t>、投资股指期货的风险：（</w:t>
      </w:r>
      <w:r>
        <w:rPr>
          <w:rFonts w:ascii="宋体" w:hAnsi="宋体" w:hint="eastAsia"/>
          <w:sz w:val="21"/>
          <w:szCs w:val="21"/>
        </w:rPr>
        <w:t>1</w:t>
      </w:r>
      <w:r>
        <w:rPr>
          <w:rFonts w:ascii="宋体" w:hAnsi="宋体" w:hint="eastAsia"/>
          <w:sz w:val="21"/>
          <w:szCs w:val="21"/>
        </w:rPr>
        <w:t>）基差风险；（</w:t>
      </w:r>
      <w:r>
        <w:rPr>
          <w:rFonts w:ascii="宋体" w:hAnsi="宋体" w:hint="eastAsia"/>
          <w:sz w:val="21"/>
          <w:szCs w:val="21"/>
        </w:rPr>
        <w:t>2</w:t>
      </w:r>
      <w:r>
        <w:rPr>
          <w:rFonts w:ascii="宋体" w:hAnsi="宋体" w:hint="eastAsia"/>
          <w:sz w:val="21"/>
          <w:szCs w:val="21"/>
        </w:rPr>
        <w:t>）系统性风险；（</w:t>
      </w:r>
      <w:r>
        <w:rPr>
          <w:rFonts w:ascii="宋体" w:hAnsi="宋体" w:hint="eastAsia"/>
          <w:sz w:val="21"/>
          <w:szCs w:val="21"/>
        </w:rPr>
        <w:t>3</w:t>
      </w:r>
      <w:r>
        <w:rPr>
          <w:rFonts w:ascii="宋体" w:hAnsi="宋体" w:hint="eastAsia"/>
          <w:sz w:val="21"/>
          <w:szCs w:val="21"/>
        </w:rPr>
        <w:t>）保证金风险；（</w:t>
      </w:r>
      <w:r>
        <w:rPr>
          <w:rFonts w:ascii="宋体" w:hAnsi="宋体" w:hint="eastAsia"/>
          <w:sz w:val="21"/>
          <w:szCs w:val="21"/>
        </w:rPr>
        <w:t>4</w:t>
      </w:r>
      <w:r>
        <w:rPr>
          <w:rFonts w:ascii="宋体" w:hAnsi="宋体" w:hint="eastAsia"/>
          <w:sz w:val="21"/>
          <w:szCs w:val="21"/>
        </w:rPr>
        <w:t>）合约展期风险；</w:t>
      </w:r>
      <w:r>
        <w:rPr>
          <w:rFonts w:ascii="宋体" w:hAnsi="宋体" w:hint="eastAsia"/>
          <w:sz w:val="21"/>
          <w:szCs w:val="21"/>
        </w:rPr>
        <w:t>6</w:t>
      </w:r>
      <w:r>
        <w:rPr>
          <w:rFonts w:ascii="宋体" w:hAnsi="宋体" w:hint="eastAsia"/>
          <w:sz w:val="21"/>
          <w:szCs w:val="21"/>
        </w:rPr>
        <w:t>、投资资产支持证券的风险；</w:t>
      </w:r>
      <w:r>
        <w:rPr>
          <w:rFonts w:ascii="宋体" w:hAnsi="宋体" w:hint="eastAsia"/>
          <w:sz w:val="21"/>
          <w:szCs w:val="21"/>
        </w:rPr>
        <w:t>7</w:t>
      </w:r>
      <w:r>
        <w:rPr>
          <w:rFonts w:ascii="宋体" w:hAnsi="宋体" w:hint="eastAsia"/>
          <w:sz w:val="21"/>
          <w:szCs w:val="21"/>
        </w:rPr>
        <w:t>、投资科创板股票</w:t>
      </w:r>
      <w:r>
        <w:rPr>
          <w:rFonts w:ascii="宋体" w:hAnsi="宋体" w:hint="eastAsia"/>
          <w:sz w:val="21"/>
          <w:szCs w:val="21"/>
        </w:rPr>
        <w:t>的风险：（</w:t>
      </w:r>
      <w:r>
        <w:rPr>
          <w:rFonts w:ascii="宋体" w:hAnsi="宋体" w:hint="eastAsia"/>
          <w:sz w:val="21"/>
          <w:szCs w:val="21"/>
        </w:rPr>
        <w:t>1</w:t>
      </w:r>
      <w:r>
        <w:rPr>
          <w:rFonts w:ascii="宋体" w:hAnsi="宋体" w:hint="eastAsia"/>
          <w:sz w:val="21"/>
          <w:szCs w:val="21"/>
        </w:rPr>
        <w:t>）市场风险；（</w:t>
      </w:r>
      <w:r>
        <w:rPr>
          <w:rFonts w:ascii="宋体" w:hAnsi="宋体" w:hint="eastAsia"/>
          <w:sz w:val="21"/>
          <w:szCs w:val="21"/>
        </w:rPr>
        <w:t>2</w:t>
      </w:r>
      <w:r>
        <w:rPr>
          <w:rFonts w:ascii="宋体" w:hAnsi="宋体" w:hint="eastAsia"/>
          <w:sz w:val="21"/>
          <w:szCs w:val="21"/>
        </w:rPr>
        <w:t>）流动性风险；（</w:t>
      </w:r>
      <w:r>
        <w:rPr>
          <w:rFonts w:ascii="宋体" w:hAnsi="宋体" w:hint="eastAsia"/>
          <w:sz w:val="21"/>
          <w:szCs w:val="21"/>
        </w:rPr>
        <w:t>3</w:t>
      </w:r>
      <w:r>
        <w:rPr>
          <w:rFonts w:ascii="宋体" w:hAnsi="宋体" w:hint="eastAsia"/>
          <w:sz w:val="21"/>
          <w:szCs w:val="21"/>
        </w:rPr>
        <w:t>）信用风险；（</w:t>
      </w:r>
      <w:r>
        <w:rPr>
          <w:rFonts w:ascii="宋体" w:hAnsi="宋体" w:hint="eastAsia"/>
          <w:sz w:val="21"/>
          <w:szCs w:val="21"/>
        </w:rPr>
        <w:t>4</w:t>
      </w:r>
      <w:r>
        <w:rPr>
          <w:rFonts w:ascii="宋体" w:hAnsi="宋体" w:hint="eastAsia"/>
          <w:sz w:val="21"/>
          <w:szCs w:val="21"/>
        </w:rPr>
        <w:t>）集中度风险；（</w:t>
      </w:r>
      <w:r>
        <w:rPr>
          <w:rFonts w:ascii="宋体" w:hAnsi="宋体" w:hint="eastAsia"/>
          <w:sz w:val="21"/>
          <w:szCs w:val="21"/>
        </w:rPr>
        <w:t>5</w:t>
      </w:r>
      <w:r>
        <w:rPr>
          <w:rFonts w:ascii="宋体" w:hAnsi="宋体" w:hint="eastAsia"/>
          <w:sz w:val="21"/>
          <w:szCs w:val="21"/>
        </w:rPr>
        <w:t>）系统性风险；（</w:t>
      </w:r>
      <w:r>
        <w:rPr>
          <w:rFonts w:ascii="宋体" w:hAnsi="宋体" w:hint="eastAsia"/>
          <w:sz w:val="21"/>
          <w:szCs w:val="21"/>
        </w:rPr>
        <w:t>6</w:t>
      </w:r>
      <w:r>
        <w:rPr>
          <w:rFonts w:ascii="宋体" w:hAnsi="宋体" w:hint="eastAsia"/>
          <w:sz w:val="21"/>
          <w:szCs w:val="21"/>
        </w:rPr>
        <w:t>）政策风险；</w:t>
      </w:r>
      <w:r>
        <w:rPr>
          <w:rFonts w:ascii="宋体" w:hAnsi="宋体" w:hint="eastAsia"/>
          <w:sz w:val="21"/>
          <w:szCs w:val="21"/>
        </w:rPr>
        <w:t>8</w:t>
      </w:r>
      <w:r>
        <w:rPr>
          <w:rFonts w:ascii="宋体" w:hAnsi="宋体" w:hint="eastAsia"/>
          <w:sz w:val="21"/>
          <w:szCs w:val="21"/>
        </w:rPr>
        <w:t>、投资存托凭证的风险；</w:t>
      </w:r>
      <w:r>
        <w:rPr>
          <w:rFonts w:ascii="宋体" w:hAnsi="宋体" w:hint="eastAsia"/>
          <w:sz w:val="21"/>
          <w:szCs w:val="21"/>
        </w:rPr>
        <w:t>9</w:t>
      </w:r>
      <w:r>
        <w:rPr>
          <w:rFonts w:ascii="宋体" w:hAnsi="宋体" w:hint="eastAsia"/>
          <w:sz w:val="21"/>
          <w:szCs w:val="21"/>
        </w:rPr>
        <w:t>、侧袋机制的相关风险；</w:t>
      </w:r>
      <w:r>
        <w:rPr>
          <w:rFonts w:ascii="宋体" w:hAnsi="宋体" w:hint="eastAsia"/>
          <w:sz w:val="21"/>
          <w:szCs w:val="21"/>
        </w:rPr>
        <w:t>10</w:t>
      </w:r>
      <w:r>
        <w:rPr>
          <w:rFonts w:ascii="宋体" w:hAnsi="宋体" w:hint="eastAsia"/>
          <w:sz w:val="21"/>
          <w:szCs w:val="21"/>
        </w:rPr>
        <w:t>、投资北京证券交易所股票的风险，包括：（</w:t>
      </w:r>
      <w:r>
        <w:rPr>
          <w:rFonts w:ascii="宋体" w:hAnsi="宋体" w:hint="eastAsia"/>
          <w:sz w:val="21"/>
          <w:szCs w:val="21"/>
        </w:rPr>
        <w:t>1</w:t>
      </w:r>
      <w:r>
        <w:rPr>
          <w:rFonts w:ascii="宋体" w:hAnsi="宋体" w:hint="eastAsia"/>
          <w:sz w:val="21"/>
          <w:szCs w:val="21"/>
        </w:rPr>
        <w:t>）上市公司经营风险、（</w:t>
      </w:r>
      <w:r>
        <w:rPr>
          <w:rFonts w:ascii="宋体" w:hAnsi="宋体" w:hint="eastAsia"/>
          <w:sz w:val="21"/>
          <w:szCs w:val="21"/>
        </w:rPr>
        <w:t>2</w:t>
      </w:r>
      <w:r>
        <w:rPr>
          <w:rFonts w:ascii="宋体" w:hAnsi="宋体" w:hint="eastAsia"/>
          <w:sz w:val="21"/>
          <w:szCs w:val="21"/>
        </w:rPr>
        <w:t>）股价大幅波动风险、（</w:t>
      </w:r>
      <w:r>
        <w:rPr>
          <w:rFonts w:ascii="宋体" w:hAnsi="宋体" w:hint="eastAsia"/>
          <w:sz w:val="21"/>
          <w:szCs w:val="21"/>
        </w:rPr>
        <w:t>3</w:t>
      </w:r>
      <w:r>
        <w:rPr>
          <w:rFonts w:ascii="宋体" w:hAnsi="宋体" w:hint="eastAsia"/>
          <w:sz w:val="21"/>
          <w:szCs w:val="21"/>
        </w:rPr>
        <w:t>）流动性风险、（</w:t>
      </w:r>
      <w:r>
        <w:rPr>
          <w:rFonts w:ascii="宋体" w:hAnsi="宋体" w:hint="eastAsia"/>
          <w:sz w:val="21"/>
          <w:szCs w:val="21"/>
        </w:rPr>
        <w:t>4</w:t>
      </w:r>
      <w:r>
        <w:rPr>
          <w:rFonts w:ascii="宋体" w:hAnsi="宋体" w:hint="eastAsia"/>
          <w:sz w:val="21"/>
          <w:szCs w:val="21"/>
        </w:rPr>
        <w:t>）转板风险、（</w:t>
      </w:r>
      <w:r>
        <w:rPr>
          <w:rFonts w:ascii="宋体" w:hAnsi="宋体" w:hint="eastAsia"/>
          <w:sz w:val="21"/>
          <w:szCs w:val="21"/>
        </w:rPr>
        <w:t>5</w:t>
      </w:r>
      <w:r>
        <w:rPr>
          <w:rFonts w:ascii="宋体" w:hAnsi="宋体" w:hint="eastAsia"/>
          <w:sz w:val="21"/>
          <w:szCs w:val="21"/>
        </w:rPr>
        <w:t>）退市风险、（</w:t>
      </w:r>
      <w:r>
        <w:rPr>
          <w:rFonts w:ascii="宋体" w:hAnsi="宋体" w:hint="eastAsia"/>
          <w:sz w:val="21"/>
          <w:szCs w:val="21"/>
        </w:rPr>
        <w:t>6</w:t>
      </w:r>
      <w:r>
        <w:rPr>
          <w:rFonts w:ascii="宋体" w:hAnsi="宋体" w:hint="eastAsia"/>
          <w:sz w:val="21"/>
          <w:szCs w:val="21"/>
        </w:rPr>
        <w:t>）系统性风险、（</w:t>
      </w:r>
      <w:r>
        <w:rPr>
          <w:rFonts w:ascii="宋体" w:hAnsi="宋体" w:hint="eastAsia"/>
          <w:sz w:val="21"/>
          <w:szCs w:val="21"/>
        </w:rPr>
        <w:t>7</w:t>
      </w:r>
      <w:r>
        <w:rPr>
          <w:rFonts w:ascii="宋体" w:hAnsi="宋体" w:hint="eastAsia"/>
          <w:sz w:val="21"/>
          <w:szCs w:val="21"/>
        </w:rPr>
        <w:t>）集中度风险、（</w:t>
      </w:r>
      <w:r>
        <w:rPr>
          <w:rFonts w:ascii="宋体" w:hAnsi="宋体" w:hint="eastAsia"/>
          <w:sz w:val="21"/>
          <w:szCs w:val="21"/>
        </w:rPr>
        <w:t>8</w:t>
      </w:r>
      <w:r>
        <w:rPr>
          <w:rFonts w:ascii="宋体" w:hAnsi="宋体" w:hint="eastAsia"/>
          <w:sz w:val="21"/>
          <w:szCs w:val="21"/>
        </w:rPr>
        <w:t>）政策风险、（</w:t>
      </w:r>
      <w:r>
        <w:rPr>
          <w:rFonts w:ascii="宋体" w:hAnsi="宋体" w:hint="eastAsia"/>
          <w:sz w:val="21"/>
          <w:szCs w:val="21"/>
        </w:rPr>
        <w:t>9</w:t>
      </w:r>
      <w:r>
        <w:rPr>
          <w:rFonts w:ascii="宋体" w:hAnsi="宋体" w:hint="eastAsia"/>
          <w:sz w:val="21"/>
          <w:szCs w:val="21"/>
        </w:rPr>
        <w:t>）监管规则变化的风险。</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此外，本基金还将面临市场风险、基金运作风险、流动性风险等其他风险。</w:t>
      </w:r>
    </w:p>
    <w:p w:rsidR="00A25588" w:rsidRPr="00D355FC" w:rsidRDefault="000F26EF" w:rsidP="0003056B">
      <w:pPr>
        <w:rPr>
          <w:rFonts w:ascii="宋体" w:hAnsi="宋体" w:cs="宋体"/>
          <w:b/>
          <w:iCs/>
          <w:sz w:val="21"/>
          <w:szCs w:val="21"/>
        </w:rPr>
      </w:pPr>
      <w:r w:rsidRPr="00D355FC">
        <w:rPr>
          <w:rFonts w:ascii="宋体" w:hAnsi="宋体" w:cs="宋体" w:hint="eastAsia"/>
          <w:b/>
          <w:iCs/>
          <w:sz w:val="21"/>
          <w:szCs w:val="21"/>
        </w:rPr>
        <w:t>（二）重要提示</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基金产品资料概要信息发生重大变更的，基金管理人将在</w:t>
      </w:r>
      <w:r>
        <w:rPr>
          <w:rFonts w:ascii="宋体" w:hAnsi="宋体" w:hint="eastAsia"/>
          <w:sz w:val="21"/>
          <w:szCs w:val="21"/>
        </w:rPr>
        <w:t>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中国证监会对本基金募集的注册</w:t>
      </w:r>
      <w:r>
        <w:rPr>
          <w:rFonts w:ascii="宋体" w:hAnsi="宋体" w:hint="eastAsia"/>
          <w:sz w:val="21"/>
          <w:szCs w:val="21"/>
        </w:rPr>
        <w:t xml:space="preserve"> </w:t>
      </w:r>
      <w:r>
        <w:rPr>
          <w:rFonts w:ascii="宋体" w:hAnsi="宋体" w:hint="eastAsia"/>
          <w:sz w:val="21"/>
          <w:szCs w:val="21"/>
        </w:rPr>
        <w:t>，并不表明其对本基金的价值和收益作出实质性判断或保证，也不表明投资于本基金没有风险。</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基金管理人依照恪尽职守、诚实信用、谨慎勤勉的原则管理和运用基金财产，但不保证基金一定盈利，也不保证最低收益。</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基金投资者自依基金合同取得基金份额，即成为基金份额持有人和基金合同的当事人。</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仲裁地点为北京市，按照中国国际经济贸易仲裁委员会届时有效的仲裁规则进行仲裁。仲裁裁决是终局的，对各方当事人均有约束力，仲裁费用由败诉方承担，除非仲裁裁决另有决定。基金合同受中国法律（为本基金合同之目的，不包括香港特别行政区、澳门特别行政区和台湾地区法律）管辖，并按其解释。</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 xml:space="preserve">　　</w:t>
      </w:r>
    </w:p>
    <w:p w:rsidR="002E1D09" w:rsidRPr="00D355FC" w:rsidRDefault="000F26EF" w:rsidP="0003056B">
      <w:pPr>
        <w:rPr>
          <w:rFonts w:ascii="宋体" w:hAnsi="宋体" w:cs="宋体"/>
          <w:b/>
          <w:iCs/>
          <w:sz w:val="21"/>
          <w:szCs w:val="21"/>
        </w:rPr>
      </w:pPr>
      <w:r w:rsidRPr="00D355FC">
        <w:rPr>
          <w:rFonts w:ascii="宋体" w:hAnsi="宋体" w:cs="宋体" w:hint="eastAsia"/>
          <w:b/>
          <w:iCs/>
          <w:sz w:val="21"/>
          <w:szCs w:val="24"/>
        </w:rPr>
        <w:t>五、其他资料查询方式</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以下资料详见基金管</w:t>
      </w:r>
      <w:r>
        <w:rPr>
          <w:rFonts w:ascii="宋体" w:hAnsi="宋体" w:hint="eastAsia"/>
          <w:sz w:val="21"/>
          <w:szCs w:val="21"/>
        </w:rPr>
        <w:t>理人网站</w:t>
      </w:r>
      <w:r>
        <w:rPr>
          <w:rFonts w:ascii="宋体" w:hAnsi="宋体" w:hint="eastAsia"/>
          <w:sz w:val="21"/>
          <w:szCs w:val="21"/>
        </w:rPr>
        <w:t>[www.yhfund.com.cn]</w:t>
      </w:r>
      <w:r>
        <w:rPr>
          <w:rFonts w:ascii="宋体" w:hAnsi="宋体" w:hint="eastAsia"/>
          <w:sz w:val="21"/>
          <w:szCs w:val="21"/>
        </w:rPr>
        <w:t>；客服电话</w:t>
      </w:r>
      <w:r>
        <w:rPr>
          <w:rFonts w:ascii="宋体" w:hAnsi="宋体" w:hint="eastAsia"/>
          <w:sz w:val="21"/>
          <w:szCs w:val="21"/>
        </w:rPr>
        <w:t xml:space="preserve">[400-678-3333 </w:t>
      </w:r>
      <w:r>
        <w:rPr>
          <w:rFonts w:ascii="宋体" w:hAnsi="宋体" w:hint="eastAsia"/>
          <w:sz w:val="21"/>
          <w:szCs w:val="21"/>
        </w:rPr>
        <w:t>、</w:t>
      </w:r>
      <w:r>
        <w:rPr>
          <w:rFonts w:ascii="宋体" w:hAnsi="宋体" w:hint="eastAsia"/>
          <w:sz w:val="21"/>
          <w:szCs w:val="21"/>
        </w:rPr>
        <w:t>010-85186558]</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1.</w:t>
      </w:r>
      <w:r>
        <w:rPr>
          <w:rFonts w:ascii="宋体" w:hAnsi="宋体" w:hint="eastAsia"/>
          <w:sz w:val="21"/>
          <w:szCs w:val="21"/>
        </w:rPr>
        <w:t>基金合同、托管协议、招募说明书</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2.</w:t>
      </w:r>
      <w:r>
        <w:rPr>
          <w:rFonts w:ascii="宋体" w:hAnsi="宋体" w:hint="eastAsia"/>
          <w:sz w:val="21"/>
          <w:szCs w:val="21"/>
        </w:rPr>
        <w:t>定期报告，包括基金季度报告、中期报告和年度报告</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3.</w:t>
      </w:r>
      <w:r>
        <w:rPr>
          <w:rFonts w:ascii="宋体" w:hAnsi="宋体" w:hint="eastAsia"/>
          <w:sz w:val="21"/>
          <w:szCs w:val="21"/>
        </w:rPr>
        <w:t>基金份额净值</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4.</w:t>
      </w:r>
      <w:r>
        <w:rPr>
          <w:rFonts w:ascii="宋体" w:hAnsi="宋体" w:hint="eastAsia"/>
          <w:sz w:val="21"/>
          <w:szCs w:val="21"/>
        </w:rPr>
        <w:t>基金销售机构及联系方式</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5.</w:t>
      </w:r>
      <w:r>
        <w:rPr>
          <w:rFonts w:ascii="宋体" w:hAnsi="宋体" w:hint="eastAsia"/>
          <w:sz w:val="21"/>
          <w:szCs w:val="21"/>
        </w:rPr>
        <w:t>其他重要资料</w:t>
      </w:r>
    </w:p>
    <w:p w:rsidR="00AE7CEB" w:rsidRDefault="000F26EF" w:rsidP="0003056B">
      <w:pPr>
        <w:autoSpaceDE w:val="0"/>
        <w:autoSpaceDN w:val="0"/>
        <w:adjustRightInd w:val="0"/>
        <w:ind w:firstLine="420"/>
        <w:rPr>
          <w:rFonts w:ascii="宋体" w:hAnsi="宋体"/>
          <w:sz w:val="21"/>
          <w:szCs w:val="21"/>
        </w:rPr>
      </w:pPr>
      <w:r>
        <w:rPr>
          <w:rFonts w:ascii="宋体" w:hAnsi="宋体" w:hint="eastAsia"/>
          <w:sz w:val="21"/>
          <w:szCs w:val="21"/>
        </w:rPr>
        <w:t xml:space="preserve">　　</w:t>
      </w:r>
    </w:p>
    <w:p w:rsidR="008957E7" w:rsidRPr="00D355FC" w:rsidRDefault="000F26EF" w:rsidP="0003056B">
      <w:pPr>
        <w:rPr>
          <w:rFonts w:ascii="宋体" w:hAnsi="宋体" w:cs="宋体"/>
          <w:b/>
          <w:iCs/>
          <w:sz w:val="21"/>
          <w:szCs w:val="21"/>
        </w:rPr>
      </w:pPr>
      <w:r w:rsidRPr="00D355FC">
        <w:rPr>
          <w:rFonts w:ascii="宋体" w:hAnsi="宋体" w:cs="宋体" w:hint="eastAsia"/>
          <w:b/>
          <w:iCs/>
          <w:sz w:val="21"/>
          <w:szCs w:val="24"/>
        </w:rPr>
        <w:t>六、其他情况说明</w:t>
      </w:r>
    </w:p>
    <w:p w:rsidR="00DB3948" w:rsidRPr="00D355FC" w:rsidRDefault="000F26EF" w:rsidP="0003056B">
      <w:pPr>
        <w:autoSpaceDE w:val="0"/>
        <w:autoSpaceDN w:val="0"/>
        <w:adjustRightInd w:val="0"/>
        <w:ind w:firstLine="420"/>
        <w:rPr>
          <w:rFonts w:ascii="宋体" w:hAnsi="宋体"/>
        </w:rPr>
      </w:pPr>
      <w:r>
        <w:rPr>
          <w:rFonts w:ascii="宋体" w:hAnsi="宋体" w:hint="eastAsia"/>
          <w:sz w:val="21"/>
          <w:szCs w:val="21"/>
        </w:rPr>
        <w:t>无</w:t>
      </w:r>
    </w:p>
    <w:sectPr w:rsidR="00DB3948" w:rsidRPr="00D355F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C5" w:rsidRDefault="007A64C5" w:rsidP="00880454">
      <w:r>
        <w:separator/>
      </w:r>
    </w:p>
  </w:endnote>
  <w:endnote w:type="continuationSeparator" w:id="0">
    <w:p w:rsidR="007A64C5" w:rsidRDefault="007A64C5" w:rsidP="0088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方正仿宋简体">
    <w:altName w:val="微软雅黑"/>
    <w:charset w:val="86"/>
    <w:family w:val="auto"/>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71041"/>
      <w:docPartObj>
        <w:docPartGallery w:val="Page Numbers (Bottom of Page)"/>
        <w:docPartUnique/>
      </w:docPartObj>
    </w:sdtPr>
    <w:sdtEndPr/>
    <w:sdtContent>
      <w:p w:rsidR="00804BF3" w:rsidRDefault="000F26EF">
        <w:pPr>
          <w:pStyle w:val="a4"/>
          <w:jc w:val="center"/>
        </w:pPr>
        <w:r>
          <w:fldChar w:fldCharType="begin"/>
        </w:r>
        <w:r>
          <w:instrText>PAGE   \* MERGEFORMAT</w:instrText>
        </w:r>
        <w:r>
          <w:fldChar w:fldCharType="separate"/>
        </w:r>
        <w:r w:rsidRPr="000F26EF">
          <w:rPr>
            <w:noProof/>
            <w:lang w:val="zh-CN"/>
          </w:rPr>
          <w:t>1</w:t>
        </w:r>
        <w:r>
          <w:fldChar w:fldCharType="end"/>
        </w:r>
      </w:p>
    </w:sdtContent>
  </w:sdt>
  <w:p w:rsidR="00804BF3" w:rsidRDefault="000F26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C5" w:rsidRDefault="007A64C5" w:rsidP="00880454">
      <w:r>
        <w:separator/>
      </w:r>
    </w:p>
  </w:footnote>
  <w:footnote w:type="continuationSeparator" w:id="0">
    <w:p w:rsidR="007A64C5" w:rsidRDefault="007A64C5" w:rsidP="00880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B6" w:rsidRDefault="000F26EF" w:rsidP="00DB30BE">
    <w:pPr>
      <w:pStyle w:val="a3"/>
      <w:spacing w:line="240" w:lineRule="atLeast"/>
      <w:jc w:val="right"/>
    </w:pPr>
    <w:r>
      <w:rPr>
        <w:rFonts w:hint="eastAsia"/>
      </w:rPr>
      <w:t>银华裕利混合型发起式证券投资基金基金产品资料概要</w:t>
    </w:r>
    <w:r>
      <w:rPr>
        <w:rFonts w:hint="eastAsia"/>
      </w:rPr>
      <w:t>(</w:t>
    </w:r>
    <w:r>
      <w:rPr>
        <w:rFonts w:hint="eastAsia"/>
      </w:rPr>
      <w:t>更新</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F48FB"/>
    <w:multiLevelType w:val="hybridMultilevel"/>
    <w:tmpl w:val="035648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0"/>
    <w:rsid w:val="00094816"/>
    <w:rsid w:val="000F26EF"/>
    <w:rsid w:val="00131F08"/>
    <w:rsid w:val="0019752C"/>
    <w:rsid w:val="001E402A"/>
    <w:rsid w:val="00287210"/>
    <w:rsid w:val="002F5DBC"/>
    <w:rsid w:val="00335FE8"/>
    <w:rsid w:val="003E751E"/>
    <w:rsid w:val="00401C56"/>
    <w:rsid w:val="00447692"/>
    <w:rsid w:val="004A275D"/>
    <w:rsid w:val="006240B9"/>
    <w:rsid w:val="006A53E7"/>
    <w:rsid w:val="007A64C5"/>
    <w:rsid w:val="00846EFA"/>
    <w:rsid w:val="00880454"/>
    <w:rsid w:val="008A6FA6"/>
    <w:rsid w:val="00902522"/>
    <w:rsid w:val="0090269C"/>
    <w:rsid w:val="009728DC"/>
    <w:rsid w:val="009C0C41"/>
    <w:rsid w:val="009F4EAE"/>
    <w:rsid w:val="00AB59CB"/>
    <w:rsid w:val="00AF7A1E"/>
    <w:rsid w:val="00B02B90"/>
    <w:rsid w:val="00C0525C"/>
    <w:rsid w:val="00CD7637"/>
    <w:rsid w:val="00D04A15"/>
    <w:rsid w:val="00D373CC"/>
    <w:rsid w:val="00DB319C"/>
    <w:rsid w:val="00E51B6D"/>
    <w:rsid w:val="00F75715"/>
    <w:rsid w:val="00F811C4"/>
    <w:rsid w:val="00FC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C2EDFB4-CD90-4747-B744-A356E158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806"/>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basedOn w:val="a0"/>
    <w:link w:val="a3"/>
    <w:uiPriority w:val="99"/>
    <w:rsid w:val="00880454"/>
    <w:rPr>
      <w:sz w:val="18"/>
      <w:szCs w:val="18"/>
    </w:rPr>
  </w:style>
  <w:style w:type="paragraph" w:styleId="a4">
    <w:name w:val="footer"/>
    <w:basedOn w:val="a"/>
    <w:link w:val="Char0"/>
    <w:uiPriority w:val="99"/>
    <w:unhideWhenUsed/>
    <w:rsid w:val="00880454"/>
    <w:pPr>
      <w:tabs>
        <w:tab w:val="center" w:pos="4153"/>
        <w:tab w:val="right" w:pos="8306"/>
      </w:tabs>
      <w:snapToGrid w:val="0"/>
      <w:jc w:val="left"/>
    </w:pPr>
    <w:rPr>
      <w:sz w:val="18"/>
      <w:szCs w:val="18"/>
    </w:rPr>
  </w:style>
  <w:style w:type="character" w:customStyle="1" w:styleId="Char0">
    <w:name w:val="页脚 Char"/>
    <w:basedOn w:val="a0"/>
    <w:link w:val="a4"/>
    <w:uiPriority w:val="99"/>
    <w:rsid w:val="00880454"/>
    <w:rPr>
      <w:sz w:val="18"/>
      <w:szCs w:val="18"/>
    </w:rPr>
  </w:style>
  <w:style w:type="paragraph" w:styleId="a5">
    <w:name w:val="List Paragraph"/>
    <w:basedOn w:val="a"/>
    <w:uiPriority w:val="34"/>
    <w:qFormat/>
    <w:rsid w:val="006A53E7"/>
    <w:pPr>
      <w:ind w:firstLineChars="200" w:firstLine="420"/>
    </w:pPr>
  </w:style>
  <w:style w:type="table" w:styleId="a6">
    <w:name w:val="Table Grid"/>
    <w:basedOn w:val="a1"/>
    <w:uiPriority w:val="39"/>
    <w:rsid w:val="006A5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F7A1E"/>
    <w:rPr>
      <w:sz w:val="24"/>
      <w:szCs w:val="24"/>
    </w:rPr>
  </w:style>
  <w:style w:type="paragraph" w:styleId="a8">
    <w:name w:val="annotation text"/>
    <w:basedOn w:val="a"/>
    <w:link w:val="Char1"/>
    <w:uiPriority w:val="99"/>
    <w:semiHidden/>
    <w:unhideWhenUsed/>
    <w:rsid w:val="00AF7A1E"/>
    <w:pPr>
      <w:jc w:val="left"/>
    </w:pPr>
  </w:style>
  <w:style w:type="character" w:customStyle="1" w:styleId="Char1">
    <w:name w:val="批注文字 Char"/>
    <w:basedOn w:val="a0"/>
    <w:link w:val="a8"/>
    <w:uiPriority w:val="99"/>
    <w:semiHidden/>
    <w:rsid w:val="00AF7A1E"/>
  </w:style>
  <w:style w:type="paragraph" w:styleId="a9">
    <w:name w:val="annotation subject"/>
    <w:basedOn w:val="a8"/>
    <w:next w:val="a8"/>
    <w:link w:val="Char2"/>
    <w:uiPriority w:val="99"/>
    <w:semiHidden/>
    <w:unhideWhenUsed/>
    <w:rsid w:val="00AF7A1E"/>
    <w:rPr>
      <w:b/>
      <w:bCs/>
    </w:rPr>
  </w:style>
  <w:style w:type="character" w:customStyle="1" w:styleId="Char2">
    <w:name w:val="批注主题 Char"/>
    <w:basedOn w:val="Char1"/>
    <w:link w:val="a9"/>
    <w:uiPriority w:val="99"/>
    <w:semiHidden/>
    <w:rsid w:val="00AF7A1E"/>
    <w:rPr>
      <w:b/>
      <w:bCs/>
    </w:rPr>
  </w:style>
  <w:style w:type="paragraph" w:styleId="aa">
    <w:name w:val="Balloon Text"/>
    <w:basedOn w:val="a"/>
    <w:link w:val="Char3"/>
    <w:uiPriority w:val="99"/>
    <w:semiHidden/>
    <w:unhideWhenUsed/>
    <w:rsid w:val="00AF7A1E"/>
    <w:rPr>
      <w:sz w:val="18"/>
      <w:szCs w:val="18"/>
    </w:rPr>
  </w:style>
  <w:style w:type="character" w:customStyle="1" w:styleId="Char3">
    <w:name w:val="批注框文本 Char"/>
    <w:basedOn w:val="a0"/>
    <w:link w:val="aa"/>
    <w:uiPriority w:val="99"/>
    <w:semiHidden/>
    <w:rsid w:val="00AF7A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565</Words>
  <Characters>3224</Characters>
  <Application>Microsoft Office Word</Application>
  <DocSecurity>4</DocSecurity>
  <Lines>26</Lines>
  <Paragraphs>7</Paragraphs>
  <ScaleCrop>false</ScaleCrop>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Windows 用户</cp:lastModifiedBy>
  <cp:revision>2</cp:revision>
  <dcterms:created xsi:type="dcterms:W3CDTF">2023-07-07T07:50:00Z</dcterms:created>
  <dcterms:modified xsi:type="dcterms:W3CDTF">2023-07-07T07:50:00Z</dcterms:modified>
</cp:coreProperties>
</file>