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C03" w:rsidRDefault="00BE2C03">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bookmarkStart w:id="0" w:name="_GoBack"/>
      <w:bookmarkEnd w:id="0"/>
    </w:p>
    <w:p w:rsidR="00BE2C03" w:rsidRDefault="00BE2C03">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rsidR="00BE2C03" w:rsidRDefault="00BE2C03">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rsidR="00BE2C03" w:rsidRDefault="00160133">
      <w:pPr>
        <w:autoSpaceDE w:val="0"/>
        <w:autoSpaceDN w:val="0"/>
        <w:adjustRightInd w:val="0"/>
        <w:snapToGrid w:val="0"/>
        <w:spacing w:before="63" w:line="360" w:lineRule="auto"/>
        <w:ind w:rightChars="6" w:right="13"/>
        <w:jc w:val="center"/>
        <w:rPr>
          <w:rFonts w:ascii="黑体" w:hAnsi="黑体"/>
          <w:b/>
          <w:spacing w:val="2"/>
          <w:w w:val="99"/>
          <w:kern w:val="0"/>
          <w:position w:val="-4"/>
          <w:sz w:val="44"/>
          <w:szCs w:val="44"/>
        </w:rPr>
      </w:pPr>
      <w:r>
        <w:rPr>
          <w:b/>
          <w:spacing w:val="2"/>
          <w:w w:val="99"/>
          <w:kern w:val="0"/>
          <w:position w:val="-4"/>
          <w:sz w:val="44"/>
          <w:szCs w:val="44"/>
        </w:rPr>
        <w:t>银华裕利混合型发起式证券投资基金</w:t>
      </w:r>
    </w:p>
    <w:p w:rsidR="00BE2C03" w:rsidRDefault="00160133">
      <w:pPr>
        <w:autoSpaceDE w:val="0"/>
        <w:autoSpaceDN w:val="0"/>
        <w:adjustRightInd w:val="0"/>
        <w:snapToGrid w:val="0"/>
        <w:spacing w:before="63" w:line="360" w:lineRule="auto"/>
        <w:ind w:rightChars="6" w:right="13"/>
        <w:jc w:val="center"/>
        <w:rPr>
          <w:rFonts w:ascii="宋体" w:hAnsi="宋体"/>
          <w:b/>
          <w:kern w:val="0"/>
          <w:sz w:val="44"/>
          <w:szCs w:val="44"/>
        </w:rPr>
      </w:pPr>
      <w:r>
        <w:rPr>
          <w:rFonts w:ascii="宋体" w:hAnsi="宋体"/>
          <w:b/>
          <w:spacing w:val="2"/>
          <w:w w:val="99"/>
          <w:kern w:val="0"/>
          <w:sz w:val="44"/>
          <w:szCs w:val="44"/>
        </w:rPr>
        <w:t>招募说明书更新</w:t>
      </w:r>
    </w:p>
    <w:p w:rsidR="00BE2C03" w:rsidRDefault="00160133">
      <w:pPr>
        <w:snapToGrid w:val="0"/>
        <w:spacing w:line="360" w:lineRule="auto"/>
        <w:jc w:val="center"/>
        <w:rPr>
          <w:rFonts w:ascii="宋体" w:hAnsi="宋体"/>
          <w:b/>
          <w:sz w:val="30"/>
          <w:szCs w:val="30"/>
        </w:rPr>
      </w:pPr>
      <w:r>
        <w:rPr>
          <w:rFonts w:ascii="宋体" w:hAnsi="宋体" w:hint="eastAsia"/>
          <w:b/>
          <w:color w:val="000000"/>
          <w:sz w:val="32"/>
          <w:szCs w:val="32"/>
        </w:rPr>
        <w:t>(2023年第1号)</w:t>
      </w:r>
    </w:p>
    <w:p w:rsidR="00BE2C03" w:rsidRDefault="00BE2C03">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BE2C03" w:rsidRDefault="00BE2C03">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BE2C03" w:rsidRDefault="00BE2C03">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BE2C03" w:rsidRDefault="00BE2C03">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BE2C03" w:rsidRDefault="00BE2C03">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BE2C03" w:rsidRDefault="00BE2C03">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BE2C03" w:rsidRDefault="00160133">
      <w:pPr>
        <w:autoSpaceDE w:val="0"/>
        <w:autoSpaceDN w:val="0"/>
        <w:adjustRightInd w:val="0"/>
        <w:snapToGrid w:val="0"/>
        <w:spacing w:line="360" w:lineRule="auto"/>
        <w:ind w:firstLineChars="500" w:firstLine="1397"/>
        <w:rPr>
          <w:rFonts w:ascii="宋体" w:hAnsi="宋体"/>
          <w:b/>
          <w:w w:val="99"/>
          <w:kern w:val="0"/>
          <w:sz w:val="28"/>
          <w:szCs w:val="32"/>
        </w:rPr>
      </w:pPr>
      <w:r>
        <w:rPr>
          <w:rFonts w:ascii="宋体" w:hAnsi="宋体"/>
          <w:b/>
          <w:spacing w:val="2"/>
          <w:w w:val="99"/>
          <w:kern w:val="0"/>
          <w:sz w:val="28"/>
          <w:szCs w:val="32"/>
        </w:rPr>
        <w:t>基金管理人：银华基金管理股份有限公司</w:t>
      </w:r>
    </w:p>
    <w:p w:rsidR="00BE2C03" w:rsidRDefault="00160133">
      <w:pPr>
        <w:autoSpaceDE w:val="0"/>
        <w:autoSpaceDN w:val="0"/>
        <w:adjustRightInd w:val="0"/>
        <w:snapToGrid w:val="0"/>
        <w:spacing w:line="360" w:lineRule="auto"/>
        <w:ind w:firstLineChars="500" w:firstLine="1397"/>
        <w:rPr>
          <w:rFonts w:ascii="宋体" w:hAnsi="宋体"/>
          <w:b/>
          <w:w w:val="99"/>
          <w:kern w:val="0"/>
          <w:sz w:val="28"/>
          <w:szCs w:val="32"/>
        </w:rPr>
      </w:pPr>
      <w:r>
        <w:rPr>
          <w:rFonts w:ascii="宋体" w:hAnsi="宋体"/>
          <w:b/>
          <w:spacing w:val="2"/>
          <w:w w:val="99"/>
          <w:kern w:val="0"/>
          <w:sz w:val="28"/>
          <w:szCs w:val="32"/>
        </w:rPr>
        <w:t>基金托管人：中国农业银行股份有限公司</w:t>
      </w:r>
    </w:p>
    <w:p w:rsidR="00BE2C03" w:rsidRDefault="00BE2C03">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BE2C03" w:rsidRDefault="00BE2C03">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BE2C03" w:rsidRDefault="00BE2C03">
      <w:pPr>
        <w:autoSpaceDE w:val="0"/>
        <w:autoSpaceDN w:val="0"/>
        <w:adjustRightInd w:val="0"/>
        <w:snapToGrid w:val="0"/>
        <w:spacing w:line="360" w:lineRule="auto"/>
        <w:ind w:left="1347" w:rightChars="6" w:right="13"/>
        <w:rPr>
          <w:rFonts w:ascii="宋体" w:hAnsi="宋体"/>
          <w:kern w:val="0"/>
          <w:sz w:val="32"/>
          <w:szCs w:val="32"/>
        </w:rPr>
        <w:sectPr w:rsidR="00BE2C03">
          <w:headerReference w:type="default" r:id="rId8"/>
          <w:footerReference w:type="default" r:id="rId9"/>
          <w:headerReference w:type="first" r:id="rId10"/>
          <w:pgSz w:w="11920" w:h="16840"/>
          <w:pgMar w:top="1560" w:right="1680" w:bottom="280" w:left="1680" w:header="0" w:footer="1073" w:gutter="0"/>
          <w:pgNumType w:start="1"/>
          <w:cols w:space="720"/>
          <w:titlePg/>
          <w:docGrid w:linePitch="286"/>
        </w:sectPr>
      </w:pPr>
    </w:p>
    <w:p w:rsidR="00BE2C03" w:rsidRDefault="00160133">
      <w:pPr>
        <w:pStyle w:val="1"/>
        <w:snapToGrid w:val="0"/>
        <w:spacing w:beforeLines="0" w:before="240" w:after="240"/>
        <w:rPr>
          <w:rFonts w:ascii="宋体" w:hAnsi="宋体"/>
          <w:kern w:val="0"/>
        </w:rPr>
      </w:pPr>
      <w:bookmarkStart w:id="1" w:name="_Toc324920538"/>
      <w:bookmarkStart w:id="2" w:name="_Toc496884613"/>
      <w:bookmarkStart w:id="3" w:name="_Toc139637432"/>
      <w:r>
        <w:rPr>
          <w:rFonts w:ascii="宋体" w:hAnsi="宋体"/>
          <w:kern w:val="0"/>
        </w:rPr>
        <w:lastRenderedPageBreak/>
        <w:t>重要提示</w:t>
      </w:r>
      <w:bookmarkEnd w:id="1"/>
      <w:bookmarkEnd w:id="2"/>
      <w:bookmarkEnd w:id="3"/>
    </w:p>
    <w:p w:rsidR="00BE2C03" w:rsidRDefault="00160133">
      <w:pPr>
        <w:autoSpaceDE w:val="0"/>
        <w:autoSpaceDN w:val="0"/>
        <w:adjustRightInd w:val="0"/>
        <w:snapToGrid w:val="0"/>
        <w:spacing w:line="360" w:lineRule="auto"/>
        <w:ind w:leftChars="50" w:left="105" w:firstLineChars="200" w:firstLine="480"/>
        <w:rPr>
          <w:rFonts w:ascii="宋体" w:hAnsi="宋体"/>
          <w:kern w:val="0"/>
          <w:sz w:val="24"/>
        </w:rPr>
      </w:pPr>
      <w:r>
        <w:rPr>
          <w:rFonts w:ascii="宋体" w:hAnsi="宋体"/>
          <w:kern w:val="0"/>
          <w:sz w:val="24"/>
        </w:rPr>
        <w:t>本基金经中国证券监督管理委员会（以下简称“中国证监会”）于2018年7月24日证监许可【2018】1177号文准予募集注册。</w:t>
      </w:r>
    </w:p>
    <w:p w:rsidR="00BE2C03" w:rsidRDefault="00160133">
      <w:pPr>
        <w:autoSpaceDE w:val="0"/>
        <w:autoSpaceDN w:val="0"/>
        <w:adjustRightInd w:val="0"/>
        <w:snapToGrid w:val="0"/>
        <w:spacing w:line="360" w:lineRule="auto"/>
        <w:ind w:leftChars="50" w:left="105" w:firstLineChars="200" w:firstLine="480"/>
        <w:rPr>
          <w:rFonts w:ascii="宋体" w:hAnsi="宋体"/>
          <w:kern w:val="0"/>
          <w:sz w:val="24"/>
        </w:rPr>
      </w:pPr>
      <w:r>
        <w:rPr>
          <w:rFonts w:ascii="宋体" w:hAnsi="宋体"/>
          <w:kern w:val="0"/>
          <w:sz w:val="24"/>
        </w:rPr>
        <w:t>本基金基金合同生效日为2018年12月7日。</w:t>
      </w:r>
    </w:p>
    <w:p w:rsidR="00BE2C03" w:rsidRDefault="00160133">
      <w:pPr>
        <w:autoSpaceDE w:val="0"/>
        <w:autoSpaceDN w:val="0"/>
        <w:adjustRightInd w:val="0"/>
        <w:snapToGrid w:val="0"/>
        <w:spacing w:line="360" w:lineRule="auto"/>
        <w:ind w:leftChars="50" w:left="105" w:firstLineChars="200" w:firstLine="480"/>
        <w:rPr>
          <w:rFonts w:ascii="宋体" w:hAnsi="宋体"/>
          <w:kern w:val="0"/>
          <w:sz w:val="24"/>
        </w:rPr>
      </w:pPr>
      <w:r>
        <w:rPr>
          <w:rFonts w:ascii="宋体" w:hAnsi="宋体"/>
          <w:kern w:val="0"/>
          <w:sz w:val="24"/>
        </w:rPr>
        <w:t>基金管理人保证本招募说明书的内容真实、准确、完整。本招募说明书经中国证监会注册，但中国证监会对本基金募集的注册，并不表明其对本基金的风险和收益作出实质性判断或保证，也不表明投资于本基金没有风险。中国证监会不对基金的投资价值及市场前景等作出实质性判断或者保证。</w:t>
      </w:r>
    </w:p>
    <w:p w:rsidR="00BE2C03" w:rsidRDefault="00160133">
      <w:pPr>
        <w:autoSpaceDE w:val="0"/>
        <w:autoSpaceDN w:val="0"/>
        <w:adjustRightInd w:val="0"/>
        <w:snapToGrid w:val="0"/>
        <w:spacing w:line="360" w:lineRule="auto"/>
        <w:ind w:leftChars="50" w:left="105" w:firstLineChars="200" w:firstLine="480"/>
        <w:rPr>
          <w:rFonts w:ascii="宋体" w:hAnsi="宋体"/>
          <w:kern w:val="0"/>
          <w:sz w:val="24"/>
        </w:rPr>
      </w:pPr>
      <w:r>
        <w:rPr>
          <w:rFonts w:ascii="宋体" w:hAnsi="宋体"/>
          <w:kern w:val="0"/>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BE2C03" w:rsidRDefault="00160133">
      <w:pPr>
        <w:autoSpaceDE w:val="0"/>
        <w:autoSpaceDN w:val="0"/>
        <w:adjustRightInd w:val="0"/>
        <w:snapToGrid w:val="0"/>
        <w:spacing w:line="360" w:lineRule="auto"/>
        <w:ind w:leftChars="50" w:left="105" w:firstLineChars="200" w:firstLine="480"/>
        <w:rPr>
          <w:rFonts w:ascii="宋体" w:hAnsi="宋体"/>
          <w:kern w:val="0"/>
          <w:sz w:val="24"/>
        </w:rPr>
      </w:pPr>
      <w:r>
        <w:rPr>
          <w:rFonts w:ascii="宋体" w:hAnsi="宋体"/>
          <w:kern w:val="0"/>
          <w:sz w:val="24"/>
        </w:rPr>
        <w:t>基金分为股票型证券投资基金、混合型证券投资基金、债券型证券投资基金、货币市场基金等不同类型，投资人投资不同类型的基金将获得不同的收益预期，也将承担不同程度的风险。一般来说，基金的收益预期越高，投资人承担的收益风险也越大。本基金为混合型基金，其预期收益和预期风险水平高于债券型基金产品和货币市场基金。</w:t>
      </w:r>
    </w:p>
    <w:p w:rsidR="00BE2C03" w:rsidRDefault="00160133">
      <w:pPr>
        <w:autoSpaceDE w:val="0"/>
        <w:autoSpaceDN w:val="0"/>
        <w:adjustRightInd w:val="0"/>
        <w:snapToGrid w:val="0"/>
        <w:spacing w:line="360" w:lineRule="auto"/>
        <w:ind w:leftChars="50" w:left="105" w:firstLineChars="200" w:firstLine="480"/>
        <w:rPr>
          <w:rFonts w:ascii="宋体" w:hAnsi="宋体"/>
          <w:kern w:val="0"/>
          <w:sz w:val="24"/>
        </w:rPr>
      </w:pPr>
      <w:r>
        <w:rPr>
          <w:rFonts w:ascii="宋体" w:hAnsi="宋体"/>
          <w:kern w:val="0"/>
          <w:sz w:val="24"/>
        </w:rPr>
        <w:t>本基金可根据投资策略需要或不同配置地的市场环境的变化，选择将部分基金资产投资于内地与香港股票市场交易互联互通机制下允许买卖的规定范围内的香港联合交易所上市的股票（以下简称“港股通标的股票”）或选择不将基金资产投资于港股通标的股票，基金资产并非必然投资港股通标的股票。基金资产投资港股通标的股票可能使本基金面临港股通交易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w:t>
      </w:r>
      <w:r>
        <w:rPr>
          <w:rFonts w:ascii="宋体" w:hAnsi="宋体"/>
          <w:kern w:val="0"/>
          <w:sz w:val="24"/>
        </w:rPr>
        <w:lastRenderedPageBreak/>
        <w:t>成损失）、港股通机制下交易日不连贯可能带来的风险（在内地开市香港休市的情形下，港股通不能正常交易，港股不能及时卖出，可能带来一定的流动性风险）等。具体详见本招募说明书中“风险揭示”章节。</w:t>
      </w:r>
    </w:p>
    <w:p w:rsidR="00BE2C03" w:rsidRDefault="00160133">
      <w:pPr>
        <w:autoSpaceDE w:val="0"/>
        <w:autoSpaceDN w:val="0"/>
        <w:adjustRightInd w:val="0"/>
        <w:snapToGrid w:val="0"/>
        <w:spacing w:line="360" w:lineRule="auto"/>
        <w:ind w:leftChars="50" w:left="105" w:firstLineChars="200" w:firstLine="480"/>
        <w:rPr>
          <w:rFonts w:ascii="宋体" w:hAnsi="宋体"/>
          <w:kern w:val="0"/>
          <w:sz w:val="24"/>
        </w:rPr>
      </w:pPr>
      <w:r>
        <w:rPr>
          <w:rFonts w:ascii="宋体" w:hAnsi="宋体"/>
          <w:kern w:val="0"/>
          <w:sz w:val="24"/>
        </w:rPr>
        <w:t>本基金可根据投资策略需要或市场环境的变化，选择将部分基金资产投资于科创板股票或选择不将基金资产投资于科创板股票，基金资产并非必然投资于科创板股票。基金资产投资于科创板股票，会面临科创板机制下因投资标的、市场制度以及交易规则等差异带来的特有风险，包括但不限于市场风险、流动性风险、信用风险、集中度风险、系统性风险、政策风险等。具体风险烦请查阅本招募说明书的“风险揭示”章节的相关内容。</w:t>
      </w:r>
    </w:p>
    <w:p w:rsidR="00BE2C03" w:rsidRDefault="00160133">
      <w:pPr>
        <w:autoSpaceDE w:val="0"/>
        <w:autoSpaceDN w:val="0"/>
        <w:adjustRightInd w:val="0"/>
        <w:snapToGrid w:val="0"/>
        <w:spacing w:line="360" w:lineRule="auto"/>
        <w:ind w:leftChars="50" w:left="105" w:firstLineChars="200" w:firstLine="480"/>
        <w:rPr>
          <w:rFonts w:ascii="宋体" w:hAnsi="宋体"/>
          <w:kern w:val="0"/>
          <w:sz w:val="24"/>
        </w:rPr>
      </w:pPr>
      <w:r>
        <w:rPr>
          <w:rFonts w:ascii="宋体" w:hAnsi="宋体"/>
          <w:kern w:val="0"/>
          <w:sz w:val="24"/>
        </w:rPr>
        <w:t>本基金的投资范围包括存托凭证，若投资可能面临中国存托凭证价格大幅波动甚至出现较大亏损的风险，以及与创新企业、境外发行人、中国存托凭证发行机制以及交易机制等相关的风险。</w:t>
      </w:r>
    </w:p>
    <w:p w:rsidR="00BE2C03" w:rsidRDefault="00160133">
      <w:pPr>
        <w:autoSpaceDE w:val="0"/>
        <w:autoSpaceDN w:val="0"/>
        <w:adjustRightInd w:val="0"/>
        <w:snapToGrid w:val="0"/>
        <w:spacing w:line="360" w:lineRule="auto"/>
        <w:ind w:leftChars="50" w:left="105" w:firstLineChars="200" w:firstLine="480"/>
        <w:rPr>
          <w:rFonts w:ascii="宋体" w:hAnsi="宋体"/>
          <w:kern w:val="0"/>
          <w:sz w:val="24"/>
        </w:rPr>
      </w:pPr>
      <w:r>
        <w:rPr>
          <w:rFonts w:ascii="宋体" w:hAnsi="宋体"/>
          <w:kern w:val="0"/>
          <w:sz w:val="24"/>
        </w:rPr>
        <w:t>本基金可根据投资策略需要或市场环境变化，选择将部分基金资产投资于北京证券交易所（以下简称“北交所”）股票或选择不将基金资产投资于北交所股票，基金资产并非必然投资于北交所股票。基金资产投资于北交所股票的特有风险包括但不限于上市公司经营风险、市场风险、股价大幅波动风险、流动性风险、转板风险、退市风险、系统性风险、集中度风险、政策风险和监管规则变化风险等。具体详见本招募说明书中“风险揭示”章节。</w:t>
      </w:r>
    </w:p>
    <w:p w:rsidR="00BE2C03" w:rsidRDefault="00160133">
      <w:pPr>
        <w:autoSpaceDE w:val="0"/>
        <w:autoSpaceDN w:val="0"/>
        <w:adjustRightInd w:val="0"/>
        <w:snapToGrid w:val="0"/>
        <w:spacing w:line="360" w:lineRule="auto"/>
        <w:ind w:leftChars="50" w:left="105" w:firstLineChars="200" w:firstLine="480"/>
        <w:rPr>
          <w:rFonts w:ascii="宋体" w:hAnsi="宋体"/>
          <w:kern w:val="0"/>
          <w:sz w:val="24"/>
        </w:rPr>
      </w:pPr>
      <w:r>
        <w:rPr>
          <w:rFonts w:ascii="宋体" w:hAnsi="宋体"/>
          <w:kern w:val="0"/>
          <w:sz w:val="24"/>
        </w:rPr>
        <w:t>本基金按照基金份额发售面值人民币1.00元发售，在市场波动等因素的影响下，基金份额净值可能低于基金份额发售面值。</w:t>
      </w:r>
    </w:p>
    <w:p w:rsidR="00BE2C03" w:rsidRDefault="00160133">
      <w:pPr>
        <w:autoSpaceDE w:val="0"/>
        <w:autoSpaceDN w:val="0"/>
        <w:adjustRightInd w:val="0"/>
        <w:snapToGrid w:val="0"/>
        <w:spacing w:line="360" w:lineRule="auto"/>
        <w:ind w:leftChars="50" w:left="105" w:firstLineChars="200" w:firstLine="480"/>
        <w:rPr>
          <w:rFonts w:ascii="宋体" w:hAnsi="宋体"/>
          <w:kern w:val="0"/>
          <w:sz w:val="24"/>
        </w:rPr>
      </w:pPr>
      <w:r>
        <w:rPr>
          <w:rFonts w:ascii="宋体" w:hAnsi="宋体"/>
          <w:kern w:val="0"/>
          <w:sz w:val="24"/>
        </w:rPr>
        <w:t>本基金投资于证券市场，基金净值会因为证券市场波动等因素产生波动，投资人在投资本基金前，需充分了解本基金的产品特性，充分考虑自身的风险承受能力，理性判断市场，并承担基金投资中出现的各类风险，包括市场风险、基金运作风险、其他风险以及本基金特有的风险等。巨额赎回风险是开放式基金所特有的一种风险，对本基金而言，即当单个开放日内的基金份额净赎回申请（赎回申请份额总数加上基金转换中转出申请份额总数后扣除申购申请份额总数及基金转换中转入申请份额总数后的余额）超过前一开放日基金总份额的百分之十时，投资人将可能无法及时赎回持有的全部基金份额。</w:t>
      </w:r>
    </w:p>
    <w:p w:rsidR="00BE2C03" w:rsidRDefault="00160133">
      <w:pPr>
        <w:autoSpaceDE w:val="0"/>
        <w:autoSpaceDN w:val="0"/>
        <w:adjustRightInd w:val="0"/>
        <w:snapToGrid w:val="0"/>
        <w:spacing w:line="360" w:lineRule="auto"/>
        <w:ind w:leftChars="50" w:left="105" w:firstLineChars="200" w:firstLine="480"/>
        <w:rPr>
          <w:rFonts w:ascii="宋体" w:hAnsi="宋体"/>
          <w:kern w:val="0"/>
          <w:sz w:val="24"/>
        </w:rPr>
      </w:pPr>
      <w:r>
        <w:rPr>
          <w:rFonts w:ascii="宋体" w:hAnsi="宋体"/>
          <w:kern w:val="0"/>
          <w:sz w:val="24"/>
        </w:rPr>
        <w:t>本基金为发起式基金，在基金募集时，基金管理人将运用公司固有资金认购本基金基金份额金额不低于1000万元，认购的基金份额持有期限不低于三年。但</w:t>
      </w:r>
      <w:r>
        <w:rPr>
          <w:rFonts w:ascii="宋体" w:hAnsi="宋体"/>
          <w:kern w:val="0"/>
          <w:sz w:val="24"/>
        </w:rPr>
        <w:lastRenderedPageBreak/>
        <w:t>基金管理人对本基金的发起认购，并不代表对本基金的风险或收益的任何判断、预测、推荐和保证，发起资金也并不用于对投资人投资亏损的补偿，投资人及发起份额认购人均自行承担投资风险。本基金管理人认购的本基金基金份额持有期限满三年后，本基金管理人将根据自身情况决定是否继续持有，届时本基金管理人有可能赎回所持有的本基金基金份额。另外，在基金合同生效之日起三年后的对应自然日，如果本基金的基金资产净值低于2亿元，基金合同将自动终止，且不得通过召开基金份额持有人大会延续基金合同期限。因此，投资人将面临基金合同可能终止的不确定性风险。</w:t>
      </w:r>
    </w:p>
    <w:p w:rsidR="00BE2C03" w:rsidRDefault="00160133">
      <w:pPr>
        <w:autoSpaceDE w:val="0"/>
        <w:autoSpaceDN w:val="0"/>
        <w:adjustRightInd w:val="0"/>
        <w:snapToGrid w:val="0"/>
        <w:spacing w:line="360" w:lineRule="auto"/>
        <w:ind w:leftChars="50" w:left="105" w:firstLineChars="200" w:firstLine="480"/>
        <w:rPr>
          <w:rFonts w:ascii="宋体" w:hAnsi="宋体"/>
          <w:kern w:val="0"/>
          <w:sz w:val="24"/>
        </w:rPr>
      </w:pPr>
      <w:r>
        <w:rPr>
          <w:rFonts w:ascii="宋体" w:hAnsi="宋体"/>
          <w:kern w:val="0"/>
          <w:sz w:val="24"/>
        </w:rPr>
        <w:t>当本基金持有特定资产且存在或潜在大额赎回申请时，基金管理人履行相应程序后，可以启用侧袋机制。请基金份额持有人仔细阅读相关内容并关注本基金启用侧袋机制时的特定风险。</w:t>
      </w:r>
    </w:p>
    <w:p w:rsidR="00BE2C03" w:rsidRDefault="00160133">
      <w:pPr>
        <w:autoSpaceDE w:val="0"/>
        <w:autoSpaceDN w:val="0"/>
        <w:adjustRightInd w:val="0"/>
        <w:snapToGrid w:val="0"/>
        <w:spacing w:line="360" w:lineRule="auto"/>
        <w:ind w:leftChars="50" w:left="105" w:firstLineChars="200" w:firstLine="480"/>
        <w:rPr>
          <w:rFonts w:ascii="宋体" w:hAnsi="宋体"/>
          <w:kern w:val="0"/>
          <w:sz w:val="24"/>
        </w:rPr>
      </w:pPr>
      <w:r>
        <w:rPr>
          <w:rFonts w:ascii="宋体" w:hAnsi="宋体"/>
          <w:kern w:val="0"/>
          <w:sz w:val="24"/>
        </w:rPr>
        <w:t>投资有风险，投资人在进行投资决策前，请仔细阅读本招募说明书、基金合同、基金产品资料概要等信息披露文件，了解本基金的风险收益特征，并根据自身的投资目的、投资期限、投资经验、资产状况等判断基金是否和投资人的风险承受能力相适应。</w:t>
      </w:r>
    </w:p>
    <w:p w:rsidR="00BE2C03" w:rsidRDefault="00160133">
      <w:pPr>
        <w:autoSpaceDE w:val="0"/>
        <w:autoSpaceDN w:val="0"/>
        <w:adjustRightInd w:val="0"/>
        <w:snapToGrid w:val="0"/>
        <w:spacing w:line="360" w:lineRule="auto"/>
        <w:ind w:leftChars="50" w:left="105" w:firstLineChars="200" w:firstLine="480"/>
        <w:rPr>
          <w:rFonts w:ascii="宋体" w:hAnsi="宋体"/>
          <w:kern w:val="0"/>
          <w:sz w:val="24"/>
        </w:rPr>
      </w:pPr>
      <w:r>
        <w:rPr>
          <w:rFonts w:ascii="宋体" w:hAnsi="宋体"/>
          <w:kern w:val="0"/>
          <w:sz w:val="24"/>
        </w:rPr>
        <w:t>基金管理人承诺以恪尽职守、诚实信用、谨慎勤勉的原则管理和运用基金资产，但不保证本基金一定盈利，也不保证最低收益。当投资人赎回时，所得可能会高于或低于投资人先前所支付的金额。投资人应当认真阅读基金合同、基金招募说明书、基金产品资料概要等信息披露文件，自主判断基金的投资价值，自主做出投资决策，自行承担投资风险。本基金的过往业绩及其净值高低并不预示其未来业绩表现。基金管理人所管理的其他基金的业绩并不构成对本基金业绩表现的保证。基金管理人提醒投资人基金投资的“买者自负”原则，在做出投资决策后，基金运营状况与基金净值变化引致的投资风险，由投资人自行负担。</w:t>
      </w:r>
    </w:p>
    <w:p w:rsidR="00BE2C03" w:rsidRDefault="00160133">
      <w:pPr>
        <w:autoSpaceDE w:val="0"/>
        <w:autoSpaceDN w:val="0"/>
        <w:adjustRightInd w:val="0"/>
        <w:snapToGrid w:val="0"/>
        <w:spacing w:line="360" w:lineRule="auto"/>
        <w:ind w:leftChars="50" w:left="105" w:firstLineChars="200" w:firstLine="480"/>
        <w:rPr>
          <w:rFonts w:ascii="宋体" w:hAnsi="宋体"/>
          <w:kern w:val="0"/>
          <w:sz w:val="24"/>
        </w:rPr>
      </w:pPr>
      <w:r>
        <w:rPr>
          <w:rFonts w:ascii="宋体" w:hAnsi="宋体"/>
          <w:kern w:val="0"/>
          <w:sz w:val="24"/>
        </w:rPr>
        <w:t>投资人应当通过基金管理人或具有基金销售业务资格的其他机构认购、申购和赎回基金份额，基金销售机构名单详见本招募说明书、本基金的基金份额发售公告以及相关披露。</w:t>
      </w:r>
    </w:p>
    <w:p w:rsidR="00BE2C03" w:rsidRDefault="00160133">
      <w:pPr>
        <w:autoSpaceDE w:val="0"/>
        <w:autoSpaceDN w:val="0"/>
        <w:adjustRightInd w:val="0"/>
        <w:snapToGrid w:val="0"/>
        <w:spacing w:line="360" w:lineRule="auto"/>
        <w:ind w:leftChars="50" w:left="105" w:firstLineChars="200" w:firstLine="480"/>
        <w:rPr>
          <w:rFonts w:ascii="宋体" w:hAnsi="宋体"/>
          <w:kern w:val="0"/>
          <w:sz w:val="24"/>
        </w:rPr>
      </w:pPr>
      <w:r>
        <w:rPr>
          <w:rFonts w:ascii="宋体" w:hAnsi="宋体"/>
          <w:kern w:val="0"/>
          <w:sz w:val="24"/>
        </w:rPr>
        <w:t>本招募说明书（更新）所载内容截止日为2023年06月14日，有关财务数据截止日为2023年03月31日，净值表现截止日为2022年12月31日，所披露的投资组合为2023年第1季度的数据（财务数据未经审计）。</w:t>
      </w:r>
    </w:p>
    <w:p w:rsidR="00BE2C03" w:rsidRDefault="00BE2C03">
      <w:pPr>
        <w:autoSpaceDE w:val="0"/>
        <w:autoSpaceDN w:val="0"/>
        <w:adjustRightInd w:val="0"/>
        <w:snapToGrid w:val="0"/>
        <w:spacing w:before="51" w:line="360" w:lineRule="auto"/>
        <w:ind w:left="120" w:rightChars="6" w:right="13" w:firstLine="480"/>
        <w:rPr>
          <w:rFonts w:ascii="宋体" w:hAnsi="宋体"/>
          <w:kern w:val="0"/>
          <w:szCs w:val="24"/>
        </w:rPr>
        <w:sectPr w:rsidR="00BE2C03">
          <w:headerReference w:type="default" r:id="rId11"/>
          <w:pgSz w:w="11920" w:h="16840"/>
          <w:pgMar w:top="1440" w:right="1680" w:bottom="280" w:left="1680" w:header="0" w:footer="1073" w:gutter="0"/>
          <w:pgNumType w:start="1"/>
          <w:cols w:space="720"/>
        </w:sectPr>
      </w:pPr>
    </w:p>
    <w:p w:rsidR="00683F94" w:rsidRPr="00683F94" w:rsidRDefault="00160133" w:rsidP="00683F94">
      <w:pPr>
        <w:pStyle w:val="ad"/>
        <w:snapToGrid w:val="0"/>
        <w:spacing w:after="240" w:line="360" w:lineRule="auto"/>
        <w:jc w:val="center"/>
        <w:rPr>
          <w:rFonts w:ascii="宋体" w:hAnsi="宋体"/>
          <w:noProof/>
          <w:sz w:val="21"/>
        </w:rPr>
      </w:pPr>
      <w:r w:rsidRPr="00683F94">
        <w:rPr>
          <w:rFonts w:ascii="宋体" w:hAnsi="宋体"/>
          <w:color w:val="000000"/>
          <w:position w:val="-4"/>
          <w:sz w:val="24"/>
          <w:szCs w:val="30"/>
        </w:rPr>
        <w:lastRenderedPageBreak/>
        <w:t>目</w:t>
      </w:r>
      <w:r w:rsidRPr="00683F94">
        <w:rPr>
          <w:rFonts w:ascii="宋体" w:hAnsi="宋体"/>
          <w:color w:val="000000"/>
          <w:position w:val="-4"/>
          <w:sz w:val="24"/>
          <w:szCs w:val="30"/>
        </w:rPr>
        <w:tab/>
        <w:t>录</w:t>
      </w:r>
      <w:r w:rsidR="00683F94" w:rsidRPr="00683F94">
        <w:rPr>
          <w:rFonts w:ascii="宋体" w:hAnsi="宋体"/>
          <w:color w:val="000000"/>
          <w:position w:val="-4"/>
          <w:sz w:val="21"/>
          <w:szCs w:val="30"/>
        </w:rPr>
        <w:fldChar w:fldCharType="begin"/>
      </w:r>
      <w:r w:rsidR="00683F94" w:rsidRPr="00683F94">
        <w:rPr>
          <w:rFonts w:ascii="宋体" w:hAnsi="宋体"/>
          <w:color w:val="000000"/>
          <w:position w:val="-4"/>
          <w:sz w:val="21"/>
          <w:szCs w:val="30"/>
        </w:rPr>
        <w:instrText xml:space="preserve"> TOC \o "1-3" \f - \h \t "-1" </w:instrText>
      </w:r>
      <w:r w:rsidR="00683F94" w:rsidRPr="00683F94">
        <w:rPr>
          <w:rFonts w:ascii="宋体" w:hAnsi="宋体"/>
          <w:color w:val="000000"/>
          <w:position w:val="-4"/>
          <w:sz w:val="21"/>
          <w:szCs w:val="30"/>
        </w:rPr>
        <w:fldChar w:fldCharType="separate"/>
      </w:r>
    </w:p>
    <w:p w:rsidR="00683F94" w:rsidRPr="00683F94" w:rsidRDefault="00E2611E" w:rsidP="00683F94">
      <w:pPr>
        <w:pStyle w:val="10"/>
        <w:tabs>
          <w:tab w:val="right" w:leader="dot" w:pos="8550"/>
        </w:tabs>
        <w:spacing w:line="360" w:lineRule="auto"/>
        <w:rPr>
          <w:rFonts w:ascii="宋体" w:hAnsi="宋体" w:cstheme="minorBidi"/>
          <w:noProof/>
        </w:rPr>
      </w:pPr>
      <w:hyperlink w:anchor="_Toc139637432" w:history="1">
        <w:r w:rsidR="00683F94" w:rsidRPr="00683F94">
          <w:rPr>
            <w:rStyle w:val="aa"/>
            <w:rFonts w:ascii="宋体" w:hAnsi="宋体" w:hint="eastAsia"/>
            <w:noProof/>
            <w:kern w:val="0"/>
          </w:rPr>
          <w:t>重要提示</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_Toc139637432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1</w:t>
        </w:r>
        <w:r w:rsidR="00683F94" w:rsidRPr="00683F94">
          <w:rPr>
            <w:rFonts w:ascii="宋体" w:hAnsi="宋体"/>
            <w:noProof/>
          </w:rPr>
          <w:fldChar w:fldCharType="end"/>
        </w:r>
      </w:hyperlink>
    </w:p>
    <w:p w:rsidR="00683F94" w:rsidRPr="00683F94" w:rsidRDefault="00E2611E" w:rsidP="00683F94">
      <w:pPr>
        <w:pStyle w:val="10"/>
        <w:tabs>
          <w:tab w:val="right" w:leader="dot" w:pos="8550"/>
        </w:tabs>
        <w:spacing w:line="360" w:lineRule="auto"/>
        <w:rPr>
          <w:rFonts w:ascii="宋体" w:hAnsi="宋体" w:cstheme="minorBidi"/>
          <w:noProof/>
        </w:rPr>
      </w:pPr>
      <w:hyperlink w:anchor="_Toc139637433" w:history="1">
        <w:r w:rsidR="00683F94" w:rsidRPr="00683F94">
          <w:rPr>
            <w:rStyle w:val="aa"/>
            <w:rFonts w:ascii="宋体" w:hAnsi="宋体" w:hint="eastAsia"/>
            <w:noProof/>
          </w:rPr>
          <w:t>一、绪言</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_Toc139637433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5</w:t>
        </w:r>
        <w:r w:rsidR="00683F94" w:rsidRPr="00683F94">
          <w:rPr>
            <w:rFonts w:ascii="宋体" w:hAnsi="宋体"/>
            <w:noProof/>
          </w:rPr>
          <w:fldChar w:fldCharType="end"/>
        </w:r>
      </w:hyperlink>
    </w:p>
    <w:p w:rsidR="00683F94" w:rsidRPr="00683F94" w:rsidRDefault="00E2611E" w:rsidP="00683F94">
      <w:pPr>
        <w:pStyle w:val="10"/>
        <w:tabs>
          <w:tab w:val="right" w:leader="dot" w:pos="8550"/>
        </w:tabs>
        <w:spacing w:line="360" w:lineRule="auto"/>
        <w:rPr>
          <w:rFonts w:ascii="宋体" w:hAnsi="宋体" w:cstheme="minorBidi"/>
          <w:noProof/>
        </w:rPr>
      </w:pPr>
      <w:hyperlink w:anchor="_Toc139637434" w:history="1">
        <w:r w:rsidR="00683F94" w:rsidRPr="00683F94">
          <w:rPr>
            <w:rStyle w:val="aa"/>
            <w:rFonts w:ascii="宋体" w:hAnsi="宋体" w:hint="eastAsia"/>
            <w:noProof/>
          </w:rPr>
          <w:t>二、释义</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_Toc139637434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6</w:t>
        </w:r>
        <w:r w:rsidR="00683F94" w:rsidRPr="00683F94">
          <w:rPr>
            <w:rFonts w:ascii="宋体" w:hAnsi="宋体"/>
            <w:noProof/>
          </w:rPr>
          <w:fldChar w:fldCharType="end"/>
        </w:r>
      </w:hyperlink>
    </w:p>
    <w:p w:rsidR="00683F94" w:rsidRPr="00683F94" w:rsidRDefault="00E2611E" w:rsidP="00683F94">
      <w:pPr>
        <w:pStyle w:val="10"/>
        <w:tabs>
          <w:tab w:val="right" w:leader="dot" w:pos="8550"/>
        </w:tabs>
        <w:spacing w:line="360" w:lineRule="auto"/>
        <w:rPr>
          <w:rFonts w:ascii="宋体" w:hAnsi="宋体" w:cstheme="minorBidi"/>
          <w:noProof/>
        </w:rPr>
      </w:pPr>
      <w:hyperlink w:anchor="_Toc139637435" w:history="1">
        <w:r w:rsidR="00683F94" w:rsidRPr="00683F94">
          <w:rPr>
            <w:rStyle w:val="aa"/>
            <w:rFonts w:ascii="宋体" w:hAnsi="宋体" w:hint="eastAsia"/>
            <w:noProof/>
          </w:rPr>
          <w:t>三、基金管理人</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_Toc139637435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11</w:t>
        </w:r>
        <w:r w:rsidR="00683F94" w:rsidRPr="00683F94">
          <w:rPr>
            <w:rFonts w:ascii="宋体" w:hAnsi="宋体"/>
            <w:noProof/>
          </w:rPr>
          <w:fldChar w:fldCharType="end"/>
        </w:r>
      </w:hyperlink>
    </w:p>
    <w:p w:rsidR="00683F94" w:rsidRPr="00683F94" w:rsidRDefault="00E2611E" w:rsidP="00683F94">
      <w:pPr>
        <w:pStyle w:val="10"/>
        <w:tabs>
          <w:tab w:val="right" w:leader="dot" w:pos="8550"/>
        </w:tabs>
        <w:spacing w:line="360" w:lineRule="auto"/>
        <w:rPr>
          <w:rFonts w:ascii="宋体" w:hAnsi="宋体" w:cstheme="minorBidi"/>
          <w:noProof/>
        </w:rPr>
      </w:pPr>
      <w:hyperlink w:anchor="_Toc139637436" w:history="1">
        <w:r w:rsidR="00683F94" w:rsidRPr="00683F94">
          <w:rPr>
            <w:rStyle w:val="aa"/>
            <w:rFonts w:ascii="宋体" w:hAnsi="宋体" w:hint="eastAsia"/>
            <w:noProof/>
          </w:rPr>
          <w:t>四、基金托管人</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_Toc139637436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25</w:t>
        </w:r>
        <w:r w:rsidR="00683F94" w:rsidRPr="00683F94">
          <w:rPr>
            <w:rFonts w:ascii="宋体" w:hAnsi="宋体"/>
            <w:noProof/>
          </w:rPr>
          <w:fldChar w:fldCharType="end"/>
        </w:r>
      </w:hyperlink>
    </w:p>
    <w:p w:rsidR="00683F94" w:rsidRPr="00683F94" w:rsidRDefault="00E2611E" w:rsidP="00683F94">
      <w:pPr>
        <w:pStyle w:val="10"/>
        <w:tabs>
          <w:tab w:val="right" w:leader="dot" w:pos="8550"/>
        </w:tabs>
        <w:spacing w:line="360" w:lineRule="auto"/>
        <w:rPr>
          <w:rFonts w:ascii="宋体" w:hAnsi="宋体" w:cstheme="minorBidi"/>
          <w:noProof/>
        </w:rPr>
      </w:pPr>
      <w:hyperlink w:anchor="_Toc139637437" w:history="1">
        <w:r w:rsidR="00683F94" w:rsidRPr="00683F94">
          <w:rPr>
            <w:rStyle w:val="aa"/>
            <w:rFonts w:ascii="宋体" w:hAnsi="宋体" w:hint="eastAsia"/>
            <w:noProof/>
          </w:rPr>
          <w:t>五、相关服务机构</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_Toc139637437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28</w:t>
        </w:r>
        <w:r w:rsidR="00683F94" w:rsidRPr="00683F94">
          <w:rPr>
            <w:rFonts w:ascii="宋体" w:hAnsi="宋体"/>
            <w:noProof/>
          </w:rPr>
          <w:fldChar w:fldCharType="end"/>
        </w:r>
      </w:hyperlink>
    </w:p>
    <w:p w:rsidR="00683F94" w:rsidRPr="00683F94" w:rsidRDefault="00E2611E" w:rsidP="00683F94">
      <w:pPr>
        <w:pStyle w:val="10"/>
        <w:tabs>
          <w:tab w:val="right" w:leader="dot" w:pos="8550"/>
        </w:tabs>
        <w:spacing w:line="360" w:lineRule="auto"/>
        <w:rPr>
          <w:rFonts w:ascii="宋体" w:hAnsi="宋体" w:cstheme="minorBidi"/>
          <w:noProof/>
        </w:rPr>
      </w:pPr>
      <w:hyperlink w:anchor="_Toc139637438" w:history="1">
        <w:r w:rsidR="00683F94" w:rsidRPr="00683F94">
          <w:rPr>
            <w:rStyle w:val="aa"/>
            <w:rFonts w:ascii="宋体" w:hAnsi="宋体" w:hint="eastAsia"/>
            <w:noProof/>
          </w:rPr>
          <w:t>六、基金的募集</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_Toc139637438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39</w:t>
        </w:r>
        <w:r w:rsidR="00683F94" w:rsidRPr="00683F94">
          <w:rPr>
            <w:rFonts w:ascii="宋体" w:hAnsi="宋体"/>
            <w:noProof/>
          </w:rPr>
          <w:fldChar w:fldCharType="end"/>
        </w:r>
      </w:hyperlink>
    </w:p>
    <w:p w:rsidR="00683F94" w:rsidRPr="00683F94" w:rsidRDefault="00E2611E" w:rsidP="00683F94">
      <w:pPr>
        <w:pStyle w:val="10"/>
        <w:tabs>
          <w:tab w:val="right" w:leader="dot" w:pos="8550"/>
        </w:tabs>
        <w:spacing w:line="360" w:lineRule="auto"/>
        <w:rPr>
          <w:rFonts w:ascii="宋体" w:hAnsi="宋体" w:cstheme="minorBidi"/>
          <w:noProof/>
        </w:rPr>
      </w:pPr>
      <w:hyperlink w:anchor="_Toc139637439" w:history="1">
        <w:r w:rsidR="00683F94" w:rsidRPr="00683F94">
          <w:rPr>
            <w:rStyle w:val="aa"/>
            <w:rFonts w:ascii="宋体" w:hAnsi="宋体" w:hint="eastAsia"/>
            <w:noProof/>
          </w:rPr>
          <w:t>七、基金合同的生效</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_Toc139637439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40</w:t>
        </w:r>
        <w:r w:rsidR="00683F94" w:rsidRPr="00683F94">
          <w:rPr>
            <w:rFonts w:ascii="宋体" w:hAnsi="宋体"/>
            <w:noProof/>
          </w:rPr>
          <w:fldChar w:fldCharType="end"/>
        </w:r>
      </w:hyperlink>
    </w:p>
    <w:p w:rsidR="00683F94" w:rsidRPr="00683F94" w:rsidRDefault="00E2611E" w:rsidP="00683F94">
      <w:pPr>
        <w:pStyle w:val="10"/>
        <w:tabs>
          <w:tab w:val="right" w:leader="dot" w:pos="8550"/>
        </w:tabs>
        <w:spacing w:line="360" w:lineRule="auto"/>
        <w:rPr>
          <w:rFonts w:ascii="宋体" w:hAnsi="宋体" w:cstheme="minorBidi"/>
          <w:noProof/>
        </w:rPr>
      </w:pPr>
      <w:hyperlink w:anchor="_Toc139637440" w:history="1">
        <w:r w:rsidR="00683F94" w:rsidRPr="00683F94">
          <w:rPr>
            <w:rStyle w:val="aa"/>
            <w:rFonts w:ascii="宋体" w:hAnsi="宋体" w:hint="eastAsia"/>
            <w:noProof/>
          </w:rPr>
          <w:t>八、基金份额的申购与赎回</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_Toc139637440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41</w:t>
        </w:r>
        <w:r w:rsidR="00683F94" w:rsidRPr="00683F94">
          <w:rPr>
            <w:rFonts w:ascii="宋体" w:hAnsi="宋体"/>
            <w:noProof/>
          </w:rPr>
          <w:fldChar w:fldCharType="end"/>
        </w:r>
      </w:hyperlink>
    </w:p>
    <w:p w:rsidR="00683F94" w:rsidRPr="00683F94" w:rsidRDefault="00E2611E" w:rsidP="00683F94">
      <w:pPr>
        <w:pStyle w:val="10"/>
        <w:tabs>
          <w:tab w:val="right" w:leader="dot" w:pos="8550"/>
        </w:tabs>
        <w:spacing w:line="360" w:lineRule="auto"/>
        <w:rPr>
          <w:rFonts w:ascii="宋体" w:hAnsi="宋体" w:cstheme="minorBidi"/>
          <w:noProof/>
        </w:rPr>
      </w:pPr>
      <w:hyperlink w:anchor="_Toc139637441" w:history="1">
        <w:r w:rsidR="00683F94" w:rsidRPr="00683F94">
          <w:rPr>
            <w:rStyle w:val="aa"/>
            <w:rFonts w:ascii="宋体" w:hAnsi="宋体" w:hint="eastAsia"/>
            <w:noProof/>
          </w:rPr>
          <w:t>九、基金的投资</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_Toc139637441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53</w:t>
        </w:r>
        <w:r w:rsidR="00683F94" w:rsidRPr="00683F94">
          <w:rPr>
            <w:rFonts w:ascii="宋体" w:hAnsi="宋体"/>
            <w:noProof/>
          </w:rPr>
          <w:fldChar w:fldCharType="end"/>
        </w:r>
      </w:hyperlink>
    </w:p>
    <w:p w:rsidR="00683F94" w:rsidRPr="00683F94" w:rsidRDefault="00E2611E" w:rsidP="00683F94">
      <w:pPr>
        <w:pStyle w:val="10"/>
        <w:tabs>
          <w:tab w:val="right" w:leader="dot" w:pos="8550"/>
        </w:tabs>
        <w:spacing w:line="360" w:lineRule="auto"/>
        <w:rPr>
          <w:rFonts w:ascii="宋体" w:hAnsi="宋体" w:cstheme="minorBidi"/>
          <w:noProof/>
        </w:rPr>
      </w:pPr>
      <w:hyperlink w:anchor="_Toc139637442" w:history="1">
        <w:r w:rsidR="00683F94" w:rsidRPr="00683F94">
          <w:rPr>
            <w:rStyle w:val="aa"/>
            <w:rFonts w:ascii="宋体" w:hAnsi="宋体" w:hint="eastAsia"/>
            <w:noProof/>
          </w:rPr>
          <w:t>十、基金的业绩</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_Toc139637442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66</w:t>
        </w:r>
        <w:r w:rsidR="00683F94" w:rsidRPr="00683F94">
          <w:rPr>
            <w:rFonts w:ascii="宋体" w:hAnsi="宋体"/>
            <w:noProof/>
          </w:rPr>
          <w:fldChar w:fldCharType="end"/>
        </w:r>
      </w:hyperlink>
    </w:p>
    <w:p w:rsidR="00683F94" w:rsidRPr="00683F94" w:rsidRDefault="00E2611E" w:rsidP="00683F94">
      <w:pPr>
        <w:pStyle w:val="10"/>
        <w:tabs>
          <w:tab w:val="right" w:leader="dot" w:pos="8550"/>
        </w:tabs>
        <w:spacing w:line="360" w:lineRule="auto"/>
        <w:rPr>
          <w:rFonts w:ascii="宋体" w:hAnsi="宋体" w:cstheme="minorBidi"/>
          <w:noProof/>
        </w:rPr>
      </w:pPr>
      <w:hyperlink w:anchor="_Toc139637443" w:history="1">
        <w:r w:rsidR="00683F94" w:rsidRPr="00683F94">
          <w:rPr>
            <w:rStyle w:val="aa"/>
            <w:rFonts w:ascii="宋体" w:hAnsi="宋体" w:hint="eastAsia"/>
            <w:noProof/>
          </w:rPr>
          <w:t>十一、基金的财产</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_Toc139637443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67</w:t>
        </w:r>
        <w:r w:rsidR="00683F94" w:rsidRPr="00683F94">
          <w:rPr>
            <w:rFonts w:ascii="宋体" w:hAnsi="宋体"/>
            <w:noProof/>
          </w:rPr>
          <w:fldChar w:fldCharType="end"/>
        </w:r>
      </w:hyperlink>
    </w:p>
    <w:p w:rsidR="00683F94" w:rsidRPr="00683F94" w:rsidRDefault="00E2611E" w:rsidP="00683F94">
      <w:pPr>
        <w:pStyle w:val="10"/>
        <w:tabs>
          <w:tab w:val="right" w:leader="dot" w:pos="8550"/>
        </w:tabs>
        <w:spacing w:line="360" w:lineRule="auto"/>
        <w:rPr>
          <w:rFonts w:ascii="宋体" w:hAnsi="宋体" w:cstheme="minorBidi"/>
          <w:noProof/>
        </w:rPr>
      </w:pPr>
      <w:hyperlink w:anchor="_Toc139637444" w:history="1">
        <w:r w:rsidR="00683F94" w:rsidRPr="00683F94">
          <w:rPr>
            <w:rStyle w:val="aa"/>
            <w:rFonts w:ascii="宋体" w:hAnsi="宋体" w:hint="eastAsia"/>
            <w:noProof/>
          </w:rPr>
          <w:t>十二、基金资产估值</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_Toc139637444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68</w:t>
        </w:r>
        <w:r w:rsidR="00683F94" w:rsidRPr="00683F94">
          <w:rPr>
            <w:rFonts w:ascii="宋体" w:hAnsi="宋体"/>
            <w:noProof/>
          </w:rPr>
          <w:fldChar w:fldCharType="end"/>
        </w:r>
      </w:hyperlink>
    </w:p>
    <w:p w:rsidR="00683F94" w:rsidRPr="00683F94" w:rsidRDefault="00E2611E" w:rsidP="00683F94">
      <w:pPr>
        <w:pStyle w:val="10"/>
        <w:tabs>
          <w:tab w:val="right" w:leader="dot" w:pos="8550"/>
        </w:tabs>
        <w:spacing w:line="360" w:lineRule="auto"/>
        <w:rPr>
          <w:rFonts w:ascii="宋体" w:hAnsi="宋体" w:cstheme="minorBidi"/>
          <w:noProof/>
        </w:rPr>
      </w:pPr>
      <w:hyperlink w:anchor="_Toc139637445" w:history="1">
        <w:r w:rsidR="00683F94" w:rsidRPr="00683F94">
          <w:rPr>
            <w:rStyle w:val="aa"/>
            <w:rFonts w:ascii="宋体" w:hAnsi="宋体" w:hint="eastAsia"/>
            <w:noProof/>
          </w:rPr>
          <w:t>十三、基金的收益与分配</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_Toc139637445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74</w:t>
        </w:r>
        <w:r w:rsidR="00683F94" w:rsidRPr="00683F94">
          <w:rPr>
            <w:rFonts w:ascii="宋体" w:hAnsi="宋体"/>
            <w:noProof/>
          </w:rPr>
          <w:fldChar w:fldCharType="end"/>
        </w:r>
      </w:hyperlink>
    </w:p>
    <w:p w:rsidR="00683F94" w:rsidRPr="00683F94" w:rsidRDefault="00E2611E" w:rsidP="00683F94">
      <w:pPr>
        <w:pStyle w:val="10"/>
        <w:tabs>
          <w:tab w:val="right" w:leader="dot" w:pos="8550"/>
        </w:tabs>
        <w:spacing w:line="360" w:lineRule="auto"/>
        <w:rPr>
          <w:rFonts w:ascii="宋体" w:hAnsi="宋体" w:cstheme="minorBidi"/>
          <w:noProof/>
        </w:rPr>
      </w:pPr>
      <w:hyperlink w:anchor="_Toc139637446" w:history="1">
        <w:r w:rsidR="00683F94" w:rsidRPr="00683F94">
          <w:rPr>
            <w:rStyle w:val="aa"/>
            <w:rFonts w:ascii="宋体" w:hAnsi="宋体" w:hint="eastAsia"/>
            <w:noProof/>
          </w:rPr>
          <w:t>十四、基金的费用与税收</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_Toc139637446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76</w:t>
        </w:r>
        <w:r w:rsidR="00683F94" w:rsidRPr="00683F94">
          <w:rPr>
            <w:rFonts w:ascii="宋体" w:hAnsi="宋体"/>
            <w:noProof/>
          </w:rPr>
          <w:fldChar w:fldCharType="end"/>
        </w:r>
      </w:hyperlink>
    </w:p>
    <w:p w:rsidR="00683F94" w:rsidRPr="00683F94" w:rsidRDefault="00E2611E" w:rsidP="00683F94">
      <w:pPr>
        <w:pStyle w:val="10"/>
        <w:tabs>
          <w:tab w:val="right" w:leader="dot" w:pos="8550"/>
        </w:tabs>
        <w:spacing w:line="360" w:lineRule="auto"/>
        <w:rPr>
          <w:rFonts w:ascii="宋体" w:hAnsi="宋体" w:cstheme="minorBidi"/>
          <w:noProof/>
        </w:rPr>
      </w:pPr>
      <w:hyperlink w:anchor="_Toc139637447" w:history="1">
        <w:r w:rsidR="00683F94" w:rsidRPr="00683F94">
          <w:rPr>
            <w:rStyle w:val="aa"/>
            <w:rFonts w:ascii="宋体" w:hAnsi="宋体" w:hint="eastAsia"/>
            <w:noProof/>
          </w:rPr>
          <w:t>十五、基金的会计和审计</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_Toc139637447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79</w:t>
        </w:r>
        <w:r w:rsidR="00683F94" w:rsidRPr="00683F94">
          <w:rPr>
            <w:rFonts w:ascii="宋体" w:hAnsi="宋体"/>
            <w:noProof/>
          </w:rPr>
          <w:fldChar w:fldCharType="end"/>
        </w:r>
      </w:hyperlink>
    </w:p>
    <w:p w:rsidR="00683F94" w:rsidRPr="00683F94" w:rsidRDefault="00E2611E" w:rsidP="00683F94">
      <w:pPr>
        <w:pStyle w:val="10"/>
        <w:tabs>
          <w:tab w:val="right" w:leader="dot" w:pos="8550"/>
        </w:tabs>
        <w:spacing w:line="360" w:lineRule="auto"/>
        <w:rPr>
          <w:rFonts w:ascii="宋体" w:hAnsi="宋体" w:cstheme="minorBidi"/>
          <w:noProof/>
        </w:rPr>
      </w:pPr>
      <w:hyperlink w:anchor="_Toc139637448" w:history="1">
        <w:r w:rsidR="00683F94" w:rsidRPr="00683F94">
          <w:rPr>
            <w:rStyle w:val="aa"/>
            <w:rFonts w:ascii="宋体" w:hAnsi="宋体" w:hint="eastAsia"/>
            <w:noProof/>
          </w:rPr>
          <w:t>十六、基金的信息披露</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_Toc139637448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80</w:t>
        </w:r>
        <w:r w:rsidR="00683F94" w:rsidRPr="00683F94">
          <w:rPr>
            <w:rFonts w:ascii="宋体" w:hAnsi="宋体"/>
            <w:noProof/>
          </w:rPr>
          <w:fldChar w:fldCharType="end"/>
        </w:r>
      </w:hyperlink>
    </w:p>
    <w:p w:rsidR="00683F94" w:rsidRPr="00683F94" w:rsidRDefault="00E2611E" w:rsidP="00683F94">
      <w:pPr>
        <w:pStyle w:val="10"/>
        <w:tabs>
          <w:tab w:val="right" w:leader="dot" w:pos="8550"/>
        </w:tabs>
        <w:spacing w:line="360" w:lineRule="auto"/>
        <w:rPr>
          <w:rFonts w:ascii="宋体" w:hAnsi="宋体" w:cstheme="minorBidi"/>
          <w:noProof/>
        </w:rPr>
      </w:pPr>
      <w:hyperlink w:anchor="_Toc139637449" w:history="1">
        <w:r w:rsidR="00683F94" w:rsidRPr="00683F94">
          <w:rPr>
            <w:rStyle w:val="aa"/>
            <w:rFonts w:ascii="宋体" w:hAnsi="宋体" w:hint="eastAsia"/>
            <w:noProof/>
          </w:rPr>
          <w:t>十七、侧袋机制</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_Toc139637449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87</w:t>
        </w:r>
        <w:r w:rsidR="00683F94" w:rsidRPr="00683F94">
          <w:rPr>
            <w:rFonts w:ascii="宋体" w:hAnsi="宋体"/>
            <w:noProof/>
          </w:rPr>
          <w:fldChar w:fldCharType="end"/>
        </w:r>
      </w:hyperlink>
    </w:p>
    <w:p w:rsidR="00683F94" w:rsidRPr="00683F94" w:rsidRDefault="00E2611E" w:rsidP="00683F94">
      <w:pPr>
        <w:pStyle w:val="10"/>
        <w:tabs>
          <w:tab w:val="right" w:leader="dot" w:pos="8550"/>
        </w:tabs>
        <w:spacing w:line="360" w:lineRule="auto"/>
        <w:rPr>
          <w:rFonts w:ascii="宋体" w:hAnsi="宋体" w:cstheme="minorBidi"/>
          <w:noProof/>
        </w:rPr>
      </w:pPr>
      <w:hyperlink w:anchor="_Toc139637450" w:history="1">
        <w:r w:rsidR="00683F94" w:rsidRPr="00683F94">
          <w:rPr>
            <w:rStyle w:val="aa"/>
            <w:rFonts w:ascii="宋体" w:hAnsi="宋体" w:hint="eastAsia"/>
            <w:noProof/>
          </w:rPr>
          <w:t>十八、风险揭示</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_Toc139637450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90</w:t>
        </w:r>
        <w:r w:rsidR="00683F94" w:rsidRPr="00683F94">
          <w:rPr>
            <w:rFonts w:ascii="宋体" w:hAnsi="宋体"/>
            <w:noProof/>
          </w:rPr>
          <w:fldChar w:fldCharType="end"/>
        </w:r>
      </w:hyperlink>
    </w:p>
    <w:p w:rsidR="00683F94" w:rsidRPr="00683F94" w:rsidRDefault="00E2611E" w:rsidP="00683F94">
      <w:pPr>
        <w:pStyle w:val="10"/>
        <w:tabs>
          <w:tab w:val="right" w:leader="dot" w:pos="8550"/>
        </w:tabs>
        <w:spacing w:line="360" w:lineRule="auto"/>
        <w:rPr>
          <w:rFonts w:ascii="宋体" w:hAnsi="宋体" w:cstheme="minorBidi"/>
          <w:noProof/>
        </w:rPr>
      </w:pPr>
      <w:hyperlink w:anchor="_Toc139637451" w:history="1">
        <w:r w:rsidR="00683F94" w:rsidRPr="00683F94">
          <w:rPr>
            <w:rStyle w:val="aa"/>
            <w:rFonts w:ascii="宋体" w:hAnsi="宋体" w:hint="eastAsia"/>
            <w:noProof/>
          </w:rPr>
          <w:t>十九、基金合同的变更、终止与基金财产的清算</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_Toc139637451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100</w:t>
        </w:r>
        <w:r w:rsidR="00683F94" w:rsidRPr="00683F94">
          <w:rPr>
            <w:rFonts w:ascii="宋体" w:hAnsi="宋体"/>
            <w:noProof/>
          </w:rPr>
          <w:fldChar w:fldCharType="end"/>
        </w:r>
      </w:hyperlink>
    </w:p>
    <w:p w:rsidR="00683F94" w:rsidRPr="00683F94" w:rsidRDefault="00E2611E" w:rsidP="00683F94">
      <w:pPr>
        <w:pStyle w:val="10"/>
        <w:tabs>
          <w:tab w:val="right" w:leader="dot" w:pos="8550"/>
        </w:tabs>
        <w:spacing w:line="360" w:lineRule="auto"/>
        <w:rPr>
          <w:rFonts w:ascii="宋体" w:hAnsi="宋体" w:cstheme="minorBidi"/>
          <w:noProof/>
        </w:rPr>
      </w:pPr>
      <w:hyperlink w:anchor="_Toc139637452" w:history="1">
        <w:r w:rsidR="00683F94" w:rsidRPr="00683F94">
          <w:rPr>
            <w:rStyle w:val="aa"/>
            <w:rFonts w:ascii="宋体" w:hAnsi="宋体" w:hint="eastAsia"/>
            <w:noProof/>
          </w:rPr>
          <w:t>二十、基金合同的内容摘要</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_Toc139637452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102</w:t>
        </w:r>
        <w:r w:rsidR="00683F94" w:rsidRPr="00683F94">
          <w:rPr>
            <w:rFonts w:ascii="宋体" w:hAnsi="宋体"/>
            <w:noProof/>
          </w:rPr>
          <w:fldChar w:fldCharType="end"/>
        </w:r>
      </w:hyperlink>
    </w:p>
    <w:p w:rsidR="00683F94" w:rsidRPr="00683F94" w:rsidRDefault="00E2611E" w:rsidP="00683F94">
      <w:pPr>
        <w:pStyle w:val="10"/>
        <w:tabs>
          <w:tab w:val="right" w:leader="dot" w:pos="8550"/>
        </w:tabs>
        <w:spacing w:line="360" w:lineRule="auto"/>
        <w:rPr>
          <w:rFonts w:ascii="宋体" w:hAnsi="宋体" w:cstheme="minorBidi"/>
          <w:noProof/>
        </w:rPr>
      </w:pPr>
      <w:hyperlink w:anchor="_Toc139637453" w:history="1">
        <w:r w:rsidR="00683F94" w:rsidRPr="00683F94">
          <w:rPr>
            <w:rStyle w:val="aa"/>
            <w:rFonts w:ascii="宋体" w:hAnsi="宋体" w:hint="eastAsia"/>
            <w:noProof/>
          </w:rPr>
          <w:t>二十一、基金托管协议的内容摘要</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_Toc139637453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119</w:t>
        </w:r>
        <w:r w:rsidR="00683F94" w:rsidRPr="00683F94">
          <w:rPr>
            <w:rFonts w:ascii="宋体" w:hAnsi="宋体"/>
            <w:noProof/>
          </w:rPr>
          <w:fldChar w:fldCharType="end"/>
        </w:r>
      </w:hyperlink>
    </w:p>
    <w:p w:rsidR="00683F94" w:rsidRPr="00683F94" w:rsidRDefault="00E2611E" w:rsidP="00683F94">
      <w:pPr>
        <w:pStyle w:val="10"/>
        <w:tabs>
          <w:tab w:val="right" w:leader="dot" w:pos="8550"/>
        </w:tabs>
        <w:spacing w:line="360" w:lineRule="auto"/>
        <w:rPr>
          <w:rFonts w:ascii="宋体" w:hAnsi="宋体" w:cstheme="minorBidi"/>
          <w:noProof/>
        </w:rPr>
      </w:pPr>
      <w:hyperlink w:anchor="_Toc139637454" w:history="1">
        <w:r w:rsidR="00683F94" w:rsidRPr="00683F94">
          <w:rPr>
            <w:rStyle w:val="aa"/>
            <w:rFonts w:ascii="宋体" w:hAnsi="宋体" w:hint="eastAsia"/>
            <w:noProof/>
          </w:rPr>
          <w:t>二十二、对基金份额持有人的服务</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_Toc139637454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133</w:t>
        </w:r>
        <w:r w:rsidR="00683F94" w:rsidRPr="00683F94">
          <w:rPr>
            <w:rFonts w:ascii="宋体" w:hAnsi="宋体"/>
            <w:noProof/>
          </w:rPr>
          <w:fldChar w:fldCharType="end"/>
        </w:r>
      </w:hyperlink>
    </w:p>
    <w:p w:rsidR="00683F94" w:rsidRPr="00683F94" w:rsidRDefault="00E2611E" w:rsidP="00683F94">
      <w:pPr>
        <w:pStyle w:val="10"/>
        <w:tabs>
          <w:tab w:val="right" w:leader="dot" w:pos="8550"/>
        </w:tabs>
        <w:spacing w:line="360" w:lineRule="auto"/>
        <w:rPr>
          <w:rFonts w:ascii="宋体" w:hAnsi="宋体" w:cstheme="minorBidi"/>
          <w:noProof/>
        </w:rPr>
      </w:pPr>
      <w:hyperlink w:anchor="_Toc139637455" w:history="1">
        <w:r w:rsidR="00683F94" w:rsidRPr="00683F94">
          <w:rPr>
            <w:rStyle w:val="aa"/>
            <w:rFonts w:ascii="宋体" w:hAnsi="宋体" w:hint="eastAsia"/>
            <w:noProof/>
          </w:rPr>
          <w:t>二十三、其他应披露事项</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_Toc139637455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135</w:t>
        </w:r>
        <w:r w:rsidR="00683F94" w:rsidRPr="00683F94">
          <w:rPr>
            <w:rFonts w:ascii="宋体" w:hAnsi="宋体"/>
            <w:noProof/>
          </w:rPr>
          <w:fldChar w:fldCharType="end"/>
        </w:r>
      </w:hyperlink>
    </w:p>
    <w:p w:rsidR="00683F94" w:rsidRPr="00683F94" w:rsidRDefault="00E2611E" w:rsidP="00683F94">
      <w:pPr>
        <w:pStyle w:val="10"/>
        <w:tabs>
          <w:tab w:val="right" w:leader="dot" w:pos="8550"/>
        </w:tabs>
        <w:spacing w:line="360" w:lineRule="auto"/>
        <w:rPr>
          <w:rFonts w:ascii="宋体" w:hAnsi="宋体" w:cstheme="minorBidi"/>
          <w:noProof/>
        </w:rPr>
      </w:pPr>
      <w:hyperlink w:anchor="_Toc139637456" w:history="1">
        <w:r w:rsidR="00683F94" w:rsidRPr="00683F94">
          <w:rPr>
            <w:rStyle w:val="aa"/>
            <w:rFonts w:ascii="宋体" w:hAnsi="宋体" w:hint="eastAsia"/>
            <w:noProof/>
          </w:rPr>
          <w:t>二十四、招募说明书的存放及查阅方式</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_Toc139637456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136</w:t>
        </w:r>
        <w:r w:rsidR="00683F94" w:rsidRPr="00683F94">
          <w:rPr>
            <w:rFonts w:ascii="宋体" w:hAnsi="宋体"/>
            <w:noProof/>
          </w:rPr>
          <w:fldChar w:fldCharType="end"/>
        </w:r>
      </w:hyperlink>
    </w:p>
    <w:p w:rsidR="00683F94" w:rsidRPr="00683F94" w:rsidRDefault="00E2611E" w:rsidP="00683F94">
      <w:pPr>
        <w:pStyle w:val="10"/>
        <w:tabs>
          <w:tab w:val="right" w:leader="dot" w:pos="8550"/>
        </w:tabs>
        <w:spacing w:line="360" w:lineRule="auto"/>
        <w:rPr>
          <w:rFonts w:ascii="宋体" w:hAnsi="宋体" w:cstheme="minorBidi"/>
          <w:noProof/>
        </w:rPr>
      </w:pPr>
      <w:hyperlink w:anchor="_Toc139637457" w:history="1">
        <w:r w:rsidR="00683F94" w:rsidRPr="00683F94">
          <w:rPr>
            <w:rStyle w:val="aa"/>
            <w:rFonts w:ascii="宋体" w:hAnsi="宋体" w:hint="eastAsia"/>
            <w:noProof/>
          </w:rPr>
          <w:t>二十五、备查文件</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_Toc139637457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137</w:t>
        </w:r>
        <w:r w:rsidR="00683F94" w:rsidRPr="00683F94">
          <w:rPr>
            <w:rFonts w:ascii="宋体" w:hAnsi="宋体"/>
            <w:noProof/>
          </w:rPr>
          <w:fldChar w:fldCharType="end"/>
        </w:r>
      </w:hyperlink>
    </w:p>
    <w:p w:rsidR="00BE2C03" w:rsidRPr="00683F94" w:rsidRDefault="00683F94" w:rsidP="00683F94">
      <w:pPr>
        <w:pStyle w:val="ad"/>
        <w:snapToGrid w:val="0"/>
        <w:spacing w:after="240" w:line="360" w:lineRule="auto"/>
        <w:jc w:val="center"/>
        <w:rPr>
          <w:rFonts w:ascii="宋体" w:hAnsi="宋体"/>
          <w:color w:val="000000"/>
          <w:sz w:val="24"/>
        </w:rPr>
      </w:pPr>
      <w:r w:rsidRPr="00683F94">
        <w:rPr>
          <w:rFonts w:ascii="宋体" w:hAnsi="宋体"/>
          <w:color w:val="000000"/>
          <w:position w:val="-4"/>
          <w:sz w:val="21"/>
          <w:szCs w:val="30"/>
        </w:rPr>
        <w:fldChar w:fldCharType="end"/>
      </w:r>
    </w:p>
    <w:p w:rsidR="00BE2C03" w:rsidRDefault="00BE2C03">
      <w:pPr>
        <w:autoSpaceDE w:val="0"/>
        <w:autoSpaceDN w:val="0"/>
        <w:adjustRightInd w:val="0"/>
        <w:snapToGrid w:val="0"/>
        <w:spacing w:line="360" w:lineRule="auto"/>
        <w:ind w:left="120" w:rightChars="6" w:right="13"/>
        <w:rPr>
          <w:rFonts w:ascii="宋体" w:hAnsi="宋体"/>
          <w:kern w:val="0"/>
          <w:szCs w:val="24"/>
        </w:rPr>
        <w:sectPr w:rsidR="00BE2C03">
          <w:pgSz w:w="11920" w:h="16840"/>
          <w:pgMar w:top="1480" w:right="1680" w:bottom="280" w:left="1680" w:header="0" w:footer="1073" w:gutter="0"/>
          <w:cols w:space="720"/>
        </w:sectPr>
      </w:pPr>
    </w:p>
    <w:p w:rsidR="00BE2C03" w:rsidRDefault="00BE2C03">
      <w:pPr>
        <w:autoSpaceDE w:val="0"/>
        <w:autoSpaceDN w:val="0"/>
        <w:adjustRightInd w:val="0"/>
        <w:snapToGrid w:val="0"/>
        <w:spacing w:line="360" w:lineRule="auto"/>
        <w:ind w:firstLineChars="200" w:firstLine="420"/>
        <w:rPr>
          <w:rFonts w:ascii="宋体" w:hAnsi="宋体"/>
          <w:kern w:val="0"/>
          <w:szCs w:val="24"/>
        </w:rPr>
      </w:pPr>
    </w:p>
    <w:p w:rsidR="00BE2C03" w:rsidRDefault="00160133">
      <w:pPr>
        <w:pStyle w:val="1"/>
        <w:snapToGrid w:val="0"/>
        <w:spacing w:beforeLines="0" w:before="240" w:after="240"/>
        <w:rPr>
          <w:rFonts w:ascii="宋体" w:hAnsi="宋体"/>
          <w:szCs w:val="30"/>
        </w:rPr>
      </w:pPr>
      <w:bookmarkStart w:id="4" w:name="_Toc139637433"/>
      <w:r>
        <w:rPr>
          <w:rFonts w:ascii="宋体" w:hAnsi="宋体"/>
          <w:sz w:val="30"/>
        </w:rPr>
        <w:t>一、绪言</w:t>
      </w:r>
      <w:bookmarkEnd w:id="4"/>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银华裕利混合型发起式证券投资基金招募说明书》（以下简称“招募说明书”或“本招募说明书”）依据《中华人民共和国证券投资基金法》（以下简称“《基金法》”）、《公开募集证券投资基金销售机构监督管理办法》（以下简称“《销售办法》”）、《公开募集证券投资基金运作管理办法》（以下简称“《运作办法》”）、《公开募集证券投资基金信息披露管理办法》（以下简称“《信息披露办法》”）、《公开募集开放式证券投资基金流动性风险管理规定》（以下简称“《流动性风险管理规定》”）、《银华裕利混合型发起式证券投资基金基金合同》（以下简称“基金合同”）及其他有关法律法规编写。</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本招募说明书阐述了银华裕利混合型发起式证券投资基金的投资目标、策略、风险、费率等与投资人投资决策有关的全部必要事项，投资人在作出投资决策前应仔细阅读本招募说明书。</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基金管理人承诺本招募说明书不存在任何虚假记载、误导性陈述或者重大遗漏，并对其真实性、准确性、完整性承担法律责任。</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是根据本招募说明书所载明的资料申请募集的。本招募说明书由银华基金管理股份有限公司解释。本基金管理人没有委托或授权任何其他人提供未在本招募说明书中载明的信息，或对本招募说明书作任何解释或者说明。</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根据本基金的基金合同编写，并经中国证监会注册。基金合同是约定基金合同当事人之间权利、义务的法律文件。基金投资人自依基金合同取得基金份额，即成为基金份额持有人和基金合同的当事人，其持有本基金基金份额的行为本身即表明其对基金合同的承认和接受。基金份额持有人作为基金合同当事人并不以在基金合同上书面签章或签字为必要条件。基金合同当事人应按照《基金法》、基金合同及其他有关规定享有权利、承担义务。基金投资人欲了解基金份额持有人的权利和义务，应详细查阅基金合同。</w:t>
      </w:r>
    </w:p>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5" w:name="_Toc139637434"/>
      <w:r>
        <w:rPr>
          <w:rFonts w:ascii="宋体" w:hAnsi="宋体"/>
          <w:sz w:val="30"/>
        </w:rPr>
        <w:t>二、释义</w:t>
      </w:r>
      <w:bookmarkEnd w:id="5"/>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在本招募说明书中，除非文意另有所指，下列词语或简称具有如下含义：</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1、基金或本基金：指银华裕利混合型发起式证券投资基金</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2、基金管理人：指银华基金管理股份有限公司</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3、基金托管人：指中国农业银行股份有限公司</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4、基金合同、《基金合同》：指《银华裕利混合型发起式证券投资基金基金合同》及对基金合同的任何有效修订和补充</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5、托管协议：指基金管理人与基金托管人就本基金签订之《银华裕利混合型发起式证券投资基金托管协议》及对该托管协议的任何有效修订和补充</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6、招募说明书、《招募说明书》或本招募说明书：指《银华裕利混合型发起式证券投资基金招募说明书》及其更新</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7、基金份额发售公告：指《银华裕利混合型发起式证券投资基金份额发售公告》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8、法律法规：指中国现行有效并公布实施的法律、行政法规、规范性文件、部门规章、地方性法规、地方政府规章和其制定机构不时做出的修改、补充和有权解释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法》：指2003年10月28日经第十届全国人民代表大会常务委员会第五次会议通过，2012年12月28日第十一届全国人民代表大会常务委员会第三十次会议修订，自2013年6月1日起实施的，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10、《销售办法》：指中国证监会2020年8月28日颁布、同年10月1日实施的《公开募集证券投资基金销售机构监督管理办法》及颁布机关对其不时做出的修订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11、《信息披露办法》：指中国证监会2019年7月26日颁布、同年9月1日实施的《公开募集证券投资基金信息披露管理办法》及颁布机关对其不时做出的修订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12、《运作办法》：指中国证监会2014年7月7日颁布、同年8月8日实施的《公开募集证券投资基金运作管理办法》及颁布机关对其不时做出的修订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13、《流动性风险管理规定》：指中国证监会2017年8月31日颁布、同年10月1日实施的《公开募集开放式证券投资基金流动性风险管理规定》及颁布机关对其不时做出的修订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14、中国证监会：指中国证券监督管理委员会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15、银行业监督管理机构：指中国人民银行和/或中国银行业监督管理委员会或其他经国务院授权的机构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16、基金合同当事人：指受基金合同约束，根据基金合同享有权利并承担义务的法律主体，包括基金管理人、基金托管人和基金份额持有人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17、个人投资者：指依据有关法律法规规定可投资于证券投资基金的自然人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18、机构投资者：指依法可以投资证券投资基金的、在中华人民共和国境内合法登记并存续或经有关政府部门批准设立并存续的企业法人、事业法人、社会团体或其他组织</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合格境外投资者：指符合《合格境外机构投资者和人民币合格境外机构投资者境内证券期货投资管理办法》及相关法律法规规定，经中国证监会批准，使用来自境外的资金进行境内证券期货投资的境外机构投资者，包括合格境外机构投资者和人民币合格境外机构投资者</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20、投资人、投资者：指个人投资者、机构投资者、合格境外投资者以及法律法规或中国证监会允许购买证券投资基金的其他投资人的合称</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21、基金份额持有人：指依基金合同和招募说明书等相关文件合法取得本基金基金份额的投资人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22、基金销售业务：指基金管理人或其他销售机构宣传推介基金，发售基金份额，办理基金份额的申购、赎回、转换、转托管及定期定额投资等业务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23、发售：指在本基金募集期内，销售机构向投资人销售本基金份额的行为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24、销售机构：指银华基金管理股份有限公司以及符合《销售办法》和中国证监会规定的其他条件，取得基金销售业务资格并与基金管理人签订了基金销售服务协议，办理基金销售业务的其他机构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25、基金销售网点：指销售机构的销售网点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27、登记机构：指办理登记业务的机构。基金的登记机构为银华基金管理股份有限公司或接受银华基金管理股份有限公司委托代为办理登记业务的机构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28、基金账户：指登记机构为投资人开立的、记录其持有的、基金管理人所管理的基金份额余额及其变动情况的账户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29、基金交易账户：指销售机构为投资人开立的、记录投资人通过该销售机构办理认购、申购、赎回、转换、转托管及定期定额投资等业务而引起基金份额变动及结余情况的账户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30、基金合同生效日：指基金募集达到法律法规规定及基金合同规定的条件，基金管理人聘请法定机构验资并向中国证监会办理基金备案手续完毕，并获得中国证监会书面确认之日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31、基金合同终止日：指基金合同规定的基金合同终止事由出现后，基金财产清算完毕，清算报告报中国证监会备案并予以公告之日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32、基金募集期：指自基金份额发售之日起至发售结束之日止的期间，最长不得超过3个月</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33、存续期：指基金合同生效后合法存续的不定期期间</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34、工作日：指上海证券交易所、深圳证券交易所的正常交易日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35、T日：指销售机构在规定时间受理投资人申购、赎回或其他业务申请的工作日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36、T+n日：指自T日起第n个工作日(不包含T日)，n=1，2，3，4，5……</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37、开放日：指为投资人办理基金份额申购、赎回或其他业务的工作日（若该工作日为非港股通交易日，则本基金不开放）</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38、开放时间：指开放日基金接受申购、赎回或其他交易的时间段</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39、《业务规则》：指《银华基金管理股份有限公司基金注册登记业务规则》及其不时做出的修订，是规范基金管理人所管理的开放式证券投资基金登记方面的业务规则，由基金管理人和投资人共同遵守</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40、认购：指在基金募集期内，投资人根据基金合同和招募说明书规定的条件以及基金销售网点规定的手续申请购买本基金基金份额的行为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41、申购：指基金合同生效后，投资人根据基金合同和招募说明书规定的条件以及基金销售网点规定的手续申请购买本基金基金份额的行为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42、赎回：指基金合同生效后，基金份额持有人按基金合同和招募说明书规定的条件以及基金销售网点规定的手续要求将本基金基金份额兑换为现金的行为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43、基金转换：指基金份额持有人按照基金合同和基金管理人届时有效公告规定的条件，申请将其持有基金管理人管理的、已开通基金转换业务的某一开放式基金的全部或部分基金份额转换为同一基金管理人管理的且已开通基金转换业务的其他开放式基金的基金份额的行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44、转托管：指基金份额持有人在本基金的不同销售机构之间实施的变更所持基金份额销售机构的操作</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45、定期定额投资计划：指投资人通过有关销售机构提出申请，约定每期申购日、扣款金额及扣款方式，由销售机构于每期约定扣款日在投资人指定银行账户内自动完成扣款及受理基金申购申请的一种投资方式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巨额赎回：指本基金单个开放日，基金净赎回申请(赎回申请份额总数加上基金转换中转出申请份额总数后扣除申购申请份额总数及基金转换中转入申请份额总数后的余额)超过上一开放日基金总份额的10%的情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47、元：指中国法定货币人民币元</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48、基金利润：指基金利息收入、投资收益、公允价值变动收益和其他收入扣除相关费用后的余额，基金已实现收益指基金利润减去公允价值变动收益后的余额</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49、基金资产总值：指基金拥有的各类有价证券、股指期货合约、银行存款本息、基金应收款项及其他资产的价值总和</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50、基金资产净值：指基金资产总值扣除基金负债后的净资产值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51、基金份额净值：指计算日基金资产净值除以计算日基金份额总数所得价值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52、基金资产估值：指计算评估基金资产和负债的价值，以确定基金资产净值和基金份额净值的过程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53、摆动定价机制：指当开放式基金遭遇大额申购赎回时，通过调整基金份额净值的方式，将基金调整投资组合的市场冲击成本分配给实际申购、赎回的投资人，从而减少对存量基金份额持有人利益的不利影响，确保投资人的合法权益不受损害并得到公平对待</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54、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55、发起式基金：指符合《运作办法》和中国证监会规定的相关条件而募集、运作，由基金管理人、基金管理人股东、基金管理人高级管理人员或基金经理承诺认购一定金额并持有一定期限的证券投资基金</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56、发起资金：指基金管理人的股东资金、基金管理人固有资金、基金管理人高级管理人员或基金经理等人员参与认购的资金。发起资金认购本基金的金额不低于1000万元，且发起资金认购的基金份额持有期限不低于三年</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57、发起资金提供方：以发起资金认购本基金且承诺以发起资金认购的基金份额持有期限不少于三年的基金管理人股东、基金管理人、基金管理人高级管理人员或基金经理等人员</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58、港股通：指内地投资人委托内地证券公司，经由内地证券交易所设立的证券交易服务公司，向香港联合交易所进行申报，买卖规定范围内的香港联合交易所上市的股票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59、规定媒介：指符合中国证监会规定条件的用以进行信息披露的全国性报刊及《信息披露办法》规定的互联网网站（包括基金管理人网站、基金托管人网站、中国证监会基金电子披露网站）等媒介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60、不可抗力：指基金合同当事人不能预见、不能避免且不能克服的客观事件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61、中国：指中华人民共和国。为基金合同目的，不包括香港特别行政区、澳门特别行政区和台湾地区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62、基金产品资料概要：指《银华裕利混合型发起式证券投资基金基金产品资料概要》及其更新</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63、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64、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6" w:name="_Toc139637435"/>
      <w:r>
        <w:rPr>
          <w:rFonts w:ascii="宋体" w:hAnsi="宋体"/>
          <w:sz w:val="30"/>
        </w:rPr>
        <w:t>三、基金管理人</w:t>
      </w:r>
      <w:bookmarkEnd w:id="6"/>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（一）基金管理人概况</w:t>
      </w:r>
    </w:p>
    <w:tbl>
      <w:tblPr>
        <w:tblW w:w="5000" w:type="pct"/>
        <w:tblLayout w:type="fixed"/>
        <w:tblCellMar>
          <w:left w:w="0" w:type="dxa"/>
          <w:right w:w="0" w:type="dxa"/>
        </w:tblCellMar>
        <w:tblLook w:val="0000" w:firstRow="0" w:lastRow="0" w:firstColumn="0" w:lastColumn="0" w:noHBand="0" w:noVBand="0"/>
      </w:tblPr>
      <w:tblGrid>
        <w:gridCol w:w="1401"/>
        <w:gridCol w:w="2510"/>
        <w:gridCol w:w="1402"/>
        <w:gridCol w:w="3357"/>
      </w:tblGrid>
      <w:tr w:rsidR="00BE2C03">
        <w:trPr>
          <w:cantSplit/>
          <w:trHeight w:val="375"/>
        </w:trPr>
        <w:tc>
          <w:tcPr>
            <w:tcW w:w="43"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名称</w:t>
            </w:r>
          </w:p>
        </w:tc>
        <w:tc>
          <w:tcPr>
            <w:tcW w:w="223"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银华基金管理股份有限公司</w:t>
            </w:r>
          </w:p>
        </w:tc>
      </w:tr>
      <w:tr w:rsidR="00BE2C03">
        <w:trPr>
          <w:cantSplit/>
          <w:trHeight w:val="375"/>
        </w:trPr>
        <w:tc>
          <w:tcPr>
            <w:tcW w:w="43"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住所</w:t>
            </w:r>
          </w:p>
        </w:tc>
        <w:tc>
          <w:tcPr>
            <w:tcW w:w="223"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深圳市福田区深南大道6008号特区报业大厦19层</w:t>
            </w:r>
          </w:p>
        </w:tc>
      </w:tr>
      <w:tr w:rsidR="00BE2C03">
        <w:trPr>
          <w:cantSplit/>
          <w:trHeight w:val="375"/>
        </w:trPr>
        <w:tc>
          <w:tcPr>
            <w:tcW w:w="43"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223"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北京市东城区东长安街1号东方广场东方经贸城C2办公楼15层</w:t>
            </w:r>
          </w:p>
        </w:tc>
      </w:tr>
      <w:tr w:rsidR="00BE2C03">
        <w:trPr>
          <w:cantSplit/>
          <w:trHeight w:val="375"/>
        </w:trPr>
        <w:tc>
          <w:tcPr>
            <w:tcW w:w="43"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7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王珠林</w:t>
            </w:r>
          </w:p>
        </w:tc>
        <w:tc>
          <w:tcPr>
            <w:tcW w:w="43"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设立日期</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2001年5月28日</w:t>
            </w:r>
          </w:p>
        </w:tc>
      </w:tr>
      <w:tr w:rsidR="00BE2C03">
        <w:trPr>
          <w:cantSplit/>
          <w:trHeight w:val="375"/>
        </w:trPr>
        <w:tc>
          <w:tcPr>
            <w:tcW w:w="43"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批准设立机关</w:t>
            </w:r>
          </w:p>
        </w:tc>
        <w:tc>
          <w:tcPr>
            <w:tcW w:w="7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中国证监会</w:t>
            </w:r>
          </w:p>
        </w:tc>
        <w:tc>
          <w:tcPr>
            <w:tcW w:w="43"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批准设立文号</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中国证监会证监基金字[2001]7号</w:t>
            </w:r>
          </w:p>
        </w:tc>
      </w:tr>
      <w:tr w:rsidR="00BE2C03">
        <w:trPr>
          <w:cantSplit/>
          <w:trHeight w:val="375"/>
        </w:trPr>
        <w:tc>
          <w:tcPr>
            <w:tcW w:w="43"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组织形式</w:t>
            </w:r>
          </w:p>
        </w:tc>
        <w:tc>
          <w:tcPr>
            <w:tcW w:w="7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股份有限公司</w:t>
            </w:r>
          </w:p>
        </w:tc>
        <w:tc>
          <w:tcPr>
            <w:tcW w:w="43"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注册资本</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2.222亿元人民币</w:t>
            </w:r>
          </w:p>
        </w:tc>
      </w:tr>
      <w:tr w:rsidR="00BE2C03">
        <w:trPr>
          <w:cantSplit/>
          <w:trHeight w:val="375"/>
        </w:trPr>
        <w:tc>
          <w:tcPr>
            <w:tcW w:w="43"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存续期间</w:t>
            </w:r>
          </w:p>
        </w:tc>
        <w:tc>
          <w:tcPr>
            <w:tcW w:w="7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持续经营</w:t>
            </w:r>
          </w:p>
        </w:tc>
        <w:tc>
          <w:tcPr>
            <w:tcW w:w="43"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兰健</w:t>
            </w:r>
          </w:p>
        </w:tc>
      </w:tr>
      <w:tr w:rsidR="00BE2C03">
        <w:trPr>
          <w:cantSplit/>
          <w:trHeight w:val="375"/>
        </w:trPr>
        <w:tc>
          <w:tcPr>
            <w:tcW w:w="43"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电话</w:t>
            </w:r>
          </w:p>
        </w:tc>
        <w:tc>
          <w:tcPr>
            <w:tcW w:w="7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010-58163000</w:t>
            </w:r>
          </w:p>
        </w:tc>
        <w:tc>
          <w:tcPr>
            <w:tcW w:w="43"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传真</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010-58163090</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银华基金管理有限公司成立于2001年5月28日，是经中国证监会批准（证监基金字[2001]7号文）设立的全国性资产管理公司。公司注册资本为2.222亿元人民币，公司的股权结构为西南证券股份有限公司（出资比例44.10%）、第一创业证券股份有限公司（出资比例26.10%）、东北证券股份有限公司（出资比例18.90%）、山西海鑫实业有限公司（出资比例0.90%）、珠海银华聚义投资合伙企业（有限合伙）（出资比例3.57%）、珠海银华致信投资合伙企业（有限合伙）（出资比例3.20%）及珠海银华汇玥投资合伙企业（有限合伙）（出资比例3.22%）。公司的主要业务是基金募集、基金销售、资产管理及中国证监会许可的其他业务。公司注册地为广东省深圳市。银华基金管理有限公司的法定名称已于2016年8月9日起变更为“银华基金管理股份有限公司”。</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治理结构完善，经营运作规范，能够切实维护基金投资人的利益。公司董事会下设“战略委员会”、“风险控制委员会”、“薪酬与提名委员会”、“审计委员会”四个专业委员会，有针对性地研究公司在经营管理和基金运作中的相关情况，制定相应的政策，并充分发挥独立董事的职能，切实加强对公司运作的监督。</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公司监事会由4位监事组成，主要负责检查公司的财务以及对公司董事、高级管理人员的行为进行监督。</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具体经营管理由总经理负责，公司根据经营运作需要设置投资管理一部、多资产投资管理部、固定收益及资产配置部、养老金投资管理部、量化投资部、境外投资部、FOF投资管理部、研究部、营销管理与服务部、渠道业务总部、机构业务总部、养老金业务总部、指数业务部、交易管理部、风险管理部、产品开发部、运作保障部、信息技术部、互联网金融部、战略发展部、投资银行部、基础设施投资部、监察稽核部、内部审计部、党委办公室（党群工作部）、人力资源部、公司办公室、财务行政部、深圳管理部等职能部门，并设有北京分公司、青岛分公司和上海分公司。此外，公司设立投资决策委员会作为公司投资业务的最高决策机构，同时下设“主动型A股投资决策、固定收益投资决策、量化和境外投资决策、养老金投资决策、基金中基金投资决策及基金投资顾问投资决策”六个专门委员会。公司投资决策委员会负责确定公司投资业务理念、投资政策及投资决策流程和风险管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（二）主要人员情况</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1、基金管理人董事、监事、经理及其他高级管理人员</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珠林先生：董事长，经济学博士。曾任甘肃省职工财经学院财会系讲师，甘肃省证券公司发行部经理，中国蓝星化学工业总公司处长，蓝星清洗股份有限公司董事、副总经理、董事会秘书，西南证券副总裁，中国银河证券副总裁，西南证券董事、总裁；还曾先后担任中国证监会发行审核委员会委员、中国证监会上市公司并购重组审核委员会委员、中国证券业协会投资银行业委员会委员、重庆市证券期货业协会会长、中国证券业协会绿色证券专业委员会副主任委员、中证机构间报价系统股份有限公司董事。现任公司董事长，兼任银华国际资本管理有限公司董事长、银华长安资本管理（北京）有限公司董事、中国上市公司协会并购融资委员会执行主任、中国证券业协会证券行业文化建设委员会顾问、深圳证券交易所理事会创业板股票发行规范委员会委员、中国退役士兵就业创业服务促进会副理事长、重庆三峡银行股份有限公司独立董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芳女士：董事，法学硕士、清华五道口金融EMBA。曾任大鹏证券有限责任公司法律支持部经理，第一创业证券有限责任公司首席律师、法律合规部总经理、合规总监、副总裁，第一创业证券股份有限公司副总裁、合规总监、常务副总裁。现任第一创业证券股份有限公司董事、总裁，第一创业证券承销保荐有限责任公司执行董事，深圳第一创业创新资本管理有限公司董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李福春先生：董事，中共党员，硕士研究生，高级工程师。曾任一汽集团公司发展部部长；吉林省经济贸易委员会副主任；吉林省发展和改革委员会副主任；长春市副市长；吉林省发展和改革委员会主任；吉林省政府党组成员、秘书长。现任东北证券股份有限公司董事长、党委委员，东证融汇证券资产管理有限公司董事长，中国证券业协会第七届理事会理事，深圳证券交易所第五届理事会战略发展委员会委员，上海证券交易所第五届理事会政策咨询委员会委员，吉林省证券业协会会长、证券经营机构分会会长，吉林省资本市场发展促进会会长。</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吴坚先生：董事，中共党员。曾任重庆证监局上市处处长；重庆渝富资产经营管理集团有限公司党委委员、副总经理；重庆东源产业投资股份有限公司董事长；重庆上市公司董事长协会秘书长；安诚财产保险股份有限公司副董事长；重庆银海融资租赁有限公司董事长；西南药业股份有限公司独立董事；西南证券股份有限公司董事；西南证券股份有限公司副总裁；重庆股份转让中心有限责任公司董事长；重庆仲裁委仲裁员；上交所第四届理事会会员自律管理委员会委员；重庆市证券期货业协会会长。现任西南证券党委书记、董事长兼总裁，中国证券业协会托管结算委员会主任委员。</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立新先生：董事，总经理，经济学博士。中国证券投资基金行业最早的从业者之一，从业经验超过20年。他参与创始的南方基金和目前领导的银华基金是中国优秀的基金管理公司。曾就读于北京大学哲学系、中央党校研究生部、中国社会科学院研究生部、长江商学院EMBA。先后就职于中国工商银行总行、中国农村发展信托投资公司、南方证券股份有限公司基金部；参与筹建南方基金管理有限公司，并历任南方基金研究开发部、市场拓展部总监。现任银华基金管理股份有限公司总经理、银华长安资本管理（北京）有限公司董事长、银华基金投资决策委员会主席、代任首席信息官。此外，兼任中国基金业协会兼职副会长、香山财富论坛发起理事、秘书长、香山财富管理研究院院长、《中国证券投资基金年鉴》副主编、《证券时报》第三届专家委员会委员、北京大学校友会理事、北京大学企业家俱乐部理事、北京大学哲学系系友会秘书长、北京大学教育基金会投委会委员、北京大学金融校友联合会副会长。</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郑秉文先生：独立董事，经济学博士，教授，博士生导师。曾任中国社会科学院研究生院副院长，欧洲所副所长，拉美所所长和美国所所长，第十三届全国政协委员。现任中国社科院世界社保研究中心主任，中国社会科学院社会保障实验室首席专家，中国社科院大学政府管理学院教授、博士生导师，政府特殊津贴享受者，人力资源和社会保障部咨询专家委员会委员，在北京大学、中国人民大学、国家行政学院、武汉大学等十几所大学担任客座教授。</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刘星先生：独立董事，管理学博士，重庆大学经济与工商管理学院会计学教授、博士生导师、国务院“政府特殊津贴”获得者，全国先进会计（教育）工作者，中国注册会计师协会非执业会员。现任中国会计学会理事，中国会计学会对外学术交流专业委员会副主任，中国会计学会教育分会前任会长，中国管理现代化研究会常务理事，中国优选法统筹与经济数学研究会常务理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邢冬梅女士：独立董事，法律硕士，律师。曾任职于司法部中国法律事务中心(后更名为信利律师事务所)，并历任北京市共和律师事务所合伙人。现任北京天达共和律师事务所管理合伙人、金融部负责人，同时兼任北京朝阳区律师协会副会长。</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封和平先生：独立董事，会计学硕士，中国注册会计师。曾任职于财政部所属中华财务会计咨询公司，并历任安达信华强会计师事务所副总经理、合伙人，普华永道会计师事务所合伙人、北京主管合伙人，摩根士丹利中国区副主席；还曾担任中国证监会发行审核委员会委员、中国证监会上市公司并购重组审核委员会委员、第29届奥运会北京奥组委财务顾问。</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东军先生：监事会主席，研究生，注册会计师、注册评估师。曾任天勤会计师事务所和中天勤会计师事务所合伙人，深圳同盛创业投资管理有限公司合伙人，日域（美国）国际工程有限公司财务部国际财务总监，深圳发展银行（现更名为平安银行）总行稽核部副总经理（主持工作），第一创业证券股份有限公司计划财务部负责人，第一创业证券股份有限公司董事会秘书，兼任第一创业证券承销保荐有限责任公司董事、第一创业期货有限责任公司监事、第一创业期货有限责任公司董事等职务。现任第一创业证券股份有限公司副总裁兼财务总监、第一创业投资管理有限公司董事、深圳第一创业创新资本管理有限公司董事长兼总经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李军先生：监事，中共党员，博士研究生，曾任西南证券有限责任公司成都营业部总经理助理、业务总监，经纪业务部副总经理，重庆市国资委副处长、处长兼重庆渝富资产经营管理集团有限公司外部董事、西南期货有限公司董事。现任西南证券股份有限公司董事会秘书、经纪业务事业部执行总裁兼运营管理部总经理、西证创新投资有限公司董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龚飒女士：监事，硕士学历。曾任湘财证券有限责任公司分支机构财务负责人，泰达荷银基金管理有限公司基金事业部副总经理（主持工作），湘财证券有限责任公司稽核经理，交银施罗德基金管理有限公司运营部总经理，银华基金管理股份有限公司运作保障部总监、机构业务部总监。现任公司总经理助理兼养老金业务总部总监。</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杜永军先生：监事，大专学历。曾任五洲大酒店财务部主管，北京赛特饭店财务部主管、主任、经理助理、副经理、经理，银华基金管理股份有限公司财务行政部总监助理。现任公司财务行政部副总监。</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凌宇翔先生：副总经理，工商管理硕士。曾任职于机械工业部、西南证券有限责任公司；2001年起任银华基金管理有限公司督察长。现任公司副总经理。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周毅先生：副总经理，CFA，硕士学位，国家特聘专家。现任银华基金副总经理、银华国际资本总经理，分管指数基金投资、数量化投资、境外投资及国际业务。周毅先生毕业于中国北京大学、美国南卡罗莱纳大学、美国约翰霍普金斯大学，拥有23年证券从业经验。回国加入银华基金前，先后在美国普华永道金融部，巴克莱资本，巴克莱亚太集团等金融机构从事数量化投资工作。</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杨文辉先生：督察长，法学博士。曾任职于北京市水利经济发展有限公司、中国证监会。现任银华基金管理股份有限公司督察长，兼任银华长安资本管理（北京）有限公司董事、银华国际资本管理有限公司董事，深圳市银华公益基金会理事长。</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苏薪茗先生：副总经理，博士研究生，获得中国政法大学法学学士、清华大学法律硕士、英国剑桥大学哲学硕士、中国社会科学院研究生院经济学博士（金融学专业）学位。曾先后担任福建日报社要闻采访部记者，中国银监会政策法规部创新处主任科员，中国银监会创新监管部综合处副处长，中国银监会创新监管部产品创新处处长，中国银监会湖北银监局副局长。现任公司副总经理、银华长安资本管理（北京）有限公司董事、银华国际资本管理有限公司董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郑蓓雷女士：财务负责人，工商管理硕士。曾就职于中国贸促会北京分会、搜狐公司、中国网通公司、西南证券、红塔证券。2011年6月加入银华基金，历任人力资源部副总监、总监、总经理助理。现任公司财务负责人，兼人力资源部总监。</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勇先生：董事会秘书，管理学博士。曾任职于西南证券股份有限公司。现任公司董事会秘书、投资银行部总监、公司办公室副总监，兼任银华国际资本管理有限公司董事、副总经理，银华长安资本管理（北京）有限公司监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2、本基金基金经理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和玮先生,硕士研究生。曾就职于易方达基金管理有限公司。2010年3月加入银华基金。现任多资产投资管理部基金经理兼任投资经理（社保、基本养老）。自2018年08月09日起至2021年12月24日担任"银华恒利灵活配置混合型证券投资基金"基金经理,自2018年12月13日起至2020年06月18日兼任"银华盛利混合型发起式证券投资基金"基金经理,自2020年05月14日起兼任"银华沪深股通精选混合型证券投资基金"基金经理,自2022年08月09日起兼任"银华裕利混合型发起式证券投资基金"基金经理。具有从业资格。国籍：中国。</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本基金历任基金经理：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陈梦舒先生,自2018年12月07日起至2021年02月01日期间担任本基金基金经理。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程桯先生,自2019年03月22日起至2022年08月16日期间担任本基金基金经理。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3、公司投资决策委员会成员</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委员会主席：王立新</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委员：周毅、姜永康、王华、李晓星、吴伟、董岚枫、倪明、肖侃宁</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王立新先生：详见主要人员情况。</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周毅先生：详见主要人员情况。</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姜永康先生：高级董事总经理，理学硕士。曾就职于中国平安保险（集团）股份有限公司。2005年10月加入银华基金，历任基金经理、总经理助理，现任养老金投资管理部总监、投资经理以及银华长安资本管理（北京）有限公司董事、银华国际资本管理有限公司董事，公司业务副总经理，自2017年9月起担任高级董事总经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王华先生：高级董事总经理，经济学硕士。曾就职于西南证券有限责任公司。 2000年10月加入银华基金（筹），历任基金经理、总经理助理，现任公司业务副总经理、主动型股票投资决策专门委员会联席主席、A股基金投资总监、多资产投资管理部总监、社保和基本养老组合投资经理、投资经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李晓星先生：北京理工大学学士、英国帝国理工大学工程硕士、英国剑桥大学工学硕士。曾就职于ABB（中国）有限公司。2011年3月加入银华基金，历任研究部助理行业研究员、投资管理部基金经理助理、投资管理一部基金经理，现任公司业务副总经理、投资管理一部投资总监、基金经理、投资经理（社保基本养老）、主动型股票投资决策专门委员会联席主席。</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吴伟先生：金融学硕士。曾先后担任中国银行北京市分行副科长、卢森堡分行副经理，中国民生银行资产管理部副总经理、民生理财有限责任公司副总裁等职务。现任公司业务副总经理。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董岚枫先生：清华大学工学学士、硕士、博士。曾就职于中国五矿集团。2010年10月加入银华基金，历任研究部助理行业研究员、行业研究员、研究组长、研究部总监助理、副总监，现任公司总经理助理兼研究部总监。</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倪明先生：经济学博士。曾在大成基金管理有限公司从事研究分析工作，历任债券信用分析师、债券基金助理、行业研究员、股票基金助理等职，并曾任大成创新成长混合型证券投资基金基金经理职务。2011年4月加盟银华基金管理有限公司。现任投资管理一部副总监兼基金经理。曾任银华内需精选混合型证券投资基金（LOF）、银华估值优势混合型证券投资基金、银华稳利灵活配置混合型证券投资基金基金经理。现任银华核心价值优选混合型证券投资基金、银华领先策略混合型证券投资基金、银华战略新兴灵活配置定期开放混合型发起式证券投资基金、银华明择多策略定期开放混合型证券投资基金及银华丰享一年持有期混合型证券投资基金基金经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肖侃宁先生：硕士研究生。曾在南方证券武汉总部任投资理财部投资经理，天同（万家）基金管理有限公司任天同180指数基金、天同保本基金及万家货币基金基金经理，太平养老保险股份有限公司投资管理中心任投资经理管理企业年金，在长江养老保险股份有限公司历任投资管理部副总经理、总经理、投资总监、公司总经理助理（分管投资和研究工作）。2016年8月加入银华基金管理股份有限公司，现任FOF投资总监、FOF投资管理部总监，兼任银华尊和养老目标日期2035三年持有期混合型基金中基金（FOF）、银华尊和养老目标日期2040三年持有期混合型发起式基金中基金（FOF）、银华尊和养老目标日期2030三年持有期混合型发起式基金中基金（FOF）、银华尊尚稳健养老目标一年持有期混合型发起式基金中基金（FOF）、银华尊颐稳健养老目标一年持有期混合型发起式基金中基金（FOF）、银华尊禧稳健养老目标一年持有期混合型发起式基金中基金（FOF）、银华尊和养老目标日期2045三年持有期混合型发起式基金中基金（FOF）、银华玉衡定投三个月持有期混合型发起式基金中基金（FOF）及银华华利均衡优选一年持有期混合型基金中基金（FOF）基金经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4、上述人员之间均不存在近亲属关系。</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 基金管理人的权利与义务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1、根据《基金法》、《运作办法》及其他有关规定，基金管理人的权利包括但不限于：</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（2）自《基金合同》生效之日起，根据法律法规和《基金合同》独立运用并管理基金财产；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（3）依照《基金合同》收取基金管理费以及法律法规规定或中国证监会批准的其他费用；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（4）销售基金份额；</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（5）按照规定召集基金份额持有人大会；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（6）依据《基金合同》及有关法律规定监督基金托管人，如认为基金托管人违反了《基金合同》及国家有关法律规定，应呈报中国证监会和其他监管部门，并采取必要措施保护基金投资人的利益；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（7）在基金托管人更换时，提名新的基金托管人；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（8）选择、更换基金销售机构，对基金销售机构的相关行为进行监督和处理；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（9）担任或委托其他符合条件的机构担任基金登记机构办理基金登记业务并获得《基金合同》规定的费用；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（10）依据《基金合同》及有关法律规定决定基金收益的分配方案；</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（11）在《基金合同》约定的范围内，拒绝或暂停受理申购、赎回和转换申请；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（12）依照法律法规为基金的利益对被投资公司行使股东权利，为基金的利益行使因基金财产投资于证券/期货所产生的权利；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（13）在法律法规允许的前提下，为基金的利益依法为基金进行融资；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（14）以基金管理人的名义，代表基金份额持有人的利益行使诉讼权利或者实施其他法律行为；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（15）选择、更换律师事务所、会计师事务所、证券/期货经纪商或其他为基金提供服务的外部机构；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（16）在符合有关法律、法规的前提下，制订和调整有关基金认购、申购、赎回、转换、非交易过户、转托管等业务的规则；</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（17）法律法规及中国证监会规定的和《基金合同》约定的其他权利。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2、根据《基金法》、《运作办法》及其他有关规定，基金管理人的义务包括但不限于：</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（1）依法募集资金，办理或者委托经中国证监会认定的其他机构代为办理基金份额的发售、申购、赎回和登记事宜；</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（3）自《基金合同》生效之日起，以诚实信用、谨慎勤勉的原则管理和运用基金财产；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（4）配备足够的具有专业资格的人员进行基金投资分析、决策，以专业化的经营方式管理和运作基金财产；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（5）建立健全内部风险控制、监察与稽核、财务管理及人事管理等制度，保证所管理的基金财产和基金管理人的财产相互独立，对所管理的不同基金分别管理，分别记账，进行证券/期货投资；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（6）除依据《基金法》、《基金合同》及其他有关规定外，不得利用基金财产为自己及任何第三人谋取利益，不得委托第三人运作基金财产；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（7）依法接受基金托管人的监督；</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（8）采取适当合理的措施使计算基金份额认购、申购、赎回和注销价格的方法符合《基金合同》等法律文件的规定，按有关规定计算并公告基金净值信息，确定基金份额申购、赎回的价格；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（9）进行基金会计核算并编制基金财务会计报告；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（10）编制季度报告、中期报告和年度报告；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（11）严格按照《基金法》、《基金合同》及其他有关规定，履行信息披露及报告义务；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保守基金商业秘密，不泄露基金投资计划、投资意向等。除《基金法》、《基金合同》及其他有关法律法规或监管机构另有规定或要求外，在基金信息公开披露前应予保密，不向他人泄露，因审计、法律等外部专业顾问提供服务而向其提供的情况除外；</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（13）按《基金合同》的约定确定基金收益分配方案，及时向基金份额持有人分配基金收益；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（14）按规定受理申购与赎回申请，及时、足额支付赎回款项；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（15）依据《基金法》、《基金合同》及其他有关规定召集基金份额持有人大会或配合基金托管人、基金份额持有人依法召集基金份额持有人大会；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（16）按规定保存基金财产管理业务活动的会计账册、报表、记录和其他相关资料15年以上；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（18）组织并参加基金财产清算小组，参与基金财产的保管、清理、估价、变现和分配；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（19）面临解散、依法被撤销或者被依法宣告破产时，及时报告中国证监会并通知基金托管人；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（20）因违反《基金合同》导致基金财产的损失或损害基金份额持有人合法权益时，应当承担赔偿责任，其赔偿责任不因其退任而免除；</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（21）监督基金托管人按法律法规和《基金合同》规定履行自己的义务，基金托管人违反《基金合同》造成基金财产损失时，基金管理人应为基金份额持有人利益向基金托管人追偿；</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（22）当基金管理人将其义务委托第三方处理时，应当对第三方处理有关基金事务的行为承担责任；</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（23）以基金管理人名义，代表基金份额持有人利益行使诉讼权利或实施其他法律行为；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（24）基金管理人在募集期间未能达到基金的备案条件，《基金合同》不能生效，基金管理人承担全部募集费用，将已募集资金并加计银行同期活期存款利息（税后）在基金募集期结束后30日内退还基金认购人；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（25）执行生效的基金份额持有人大会的决议；</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（26）建立并保存基金份额持有人名册；</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（27）法律法规及中国证监会规定的和《基金合同》约定的其他义务。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（四）基金管理人承诺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1.本基金管理人将根据基金合同的规定，按照招募说明书列明的投资目标、策略及限制全权处理本基金的投资。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2.本基金管理人不从事违反《中华人民共和国证券法》的行为，并建立健全内部控制制度，采取有效措施，防止违反《中华人民共和国证券法》行为的发生。</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3.本基金管理人不从事违反《基金法》的行为，并建立健全内部控制制度，采取有效措施，防止下列行为的发生：</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（1）以基金的名义使用不属于基金名下的资金买卖证券；</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（2）动用银行信贷资金从事证券买卖；</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（3）违反规定将基金资产向他人贷款或者提供担保；</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（4）从事证券信用交易（法律法规、基金合同和中国证监会另有规定的除外）；</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（5）以基金资产进行房地产投资；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（6）从事有可能使基金承担无限责任的投资；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（7）从事证券承销行为；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（8）违反证券交易业务规则，利用对敲、倒仓等行为来操纵和扰乱市场价格；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（9）进行高位接盘、利益输送等损害基金份额持有人利益的行为；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（10）通过股票投资取得对上市公司的控制权；</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（11）因基金投资股票而参加上市公司股东大会的、与上市公司董事会或其他持有5%以上投票权的股东恶意串通，致使股东大会表决结果侵犯社会公众股东的合法利益；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（12）法律、法规及监管机关规定禁止从事的其他行为。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4.本基金管理人将加强人员管理，强化职业操守，督促和约束员工遵守国家有关法律、法规及行业规范，诚实信用、勤勉尽责，不从事以下行为：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（1）越权或违规经营，违反基金合同或托管协议；</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（2）故意损害基金份额持有人或其他基金相关机构的合法利益；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（3）在向中国证监会报送的材料中弄虚作假；</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（4）拒绝、干扰、阻挠或严重影响中国证监会依法监管；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（5）玩忽职守、滥用职权，不按照规定履行职责；</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（6）泄漏在任职期间知悉的有关证券、基金的商业秘密、尚未依法公开的基金投资内容、基金投资计划等信息，或利用该信息从事或者明示、暗示他人从事相关的交易活动；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（7）其他法律、行政法规以及中国证监会禁止的行为。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5.基金经理承诺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（1）依照有关法律法规和基金合同的规定，本着谨慎的原则为基金份额持有人谋取最大利益；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（2）不利用职务之便为自己及其代理人、代表人、受雇人或任何第三人谋取利益；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（3）不泄漏在任职期间知悉的有关证券、基金的商业秘密、尚未依法公开的基金投资内容、基金投资计划等信息，或利用该信息从事或者明示、暗示他人从事相关的交易活动；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（4）不以任何形式为其他组织或个人进行证券交易。</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（五）基金管理人的风险管理体系和内部控制制度</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1.风险管理体系</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在运作过程中面临的风险主要包括市场风险、信用风险、流动性风险、操作或技术风险、合规性风险、声誉风险和外部风险。针对上述各种风险，基金管理人建立了一套完整的风险管理体系，具体包括以下内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（1）建立风险管理环境。具体包括制定风险管理战略、目标，设置相应的组织机构，配备相应的人力资源与技术系统，设定风险管理的时间范围与空间范围等内容。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（2）识别风险。辨识组织系统与业务流程中存在什么样的风险，为什么会存在以及如何引起风险。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（3）分析风险。检查存在的控制措施，分析风险发生的可能性及其引起的后果。</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度量风险。评估风险水平的高低，既有定性的度量手段，也有定量的度量手段。定性的度量是把风险水平划分为若干级别，每一种风险按其发生的可能性与后果的严重程度分别进入相应的级别。定量的方法则是设计一些风险指标，测量其数值的大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处理风险。将风险水平与既定的标准相对比，对于那些级别较低的风险，则承担它，但需加以监控。而对较为严重的风险，则实施一定的管理计划，对于一些后果极其严重的风险，则准备相应的应急处理措施。</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（6）监视与检查。对已有的风险管理系统要监视及评价其管理绩效，在必要时适时加以改变。</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（7）报告与咨询。建立风险管理的报告系统，使公司股东、公司董事会、公司高级管理人员及监管部门了解公司风险管理状况，并寻求咨询意见。</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2.内部控制制度</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（1）内部控制的原则</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1）全面性原则。内部控制制度覆盖公司的各项业务、各个部门和各级人员，并渗透到决策、执行、监督、反馈等各个经营环节。</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2）独立性原则。公司设立独立的督察长与监察稽核部门，并使它们保持高度的独立性与权威性。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3）相互制约原则。公司部门和岗位的设置权责分明、相互牵制，并通过切实可行的相互制衡措施来消除内部控制中的盲点。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4）有效性原则。公司的内部风险控制工作必须从实际出发，主要通过对工作流程的控制，进而达到对各项经营风险的控制。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5）防火墙原则。公司的投资管理、基金运作、计算机技术系统等相关部门，在物理上和制度上适当隔离。对因业务需要知悉内幕信息的人员，制定严格的批准程序和监督处罚措施。</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6）适时性原则。公司内部风险控制制度的制定，应具有前瞻性，并且必须随着公司经营战略、经营方针、经营理念等内部环境的变化和国家法律、法规、政策制度等外部环境的改变及时进行相应的修改和完善。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（2）内部控制的主要内容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1）控制环境</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董事会重视建立完善的公司治理结构与内部控制体系。基金管理人在董事会下设立了风险控制委员会，负责针对公司在经营管理和基金运作中的风险进行研究并制定相应的控制制度。在特殊情况下，风险控制委员会可依据其职权，在上报董事会的同时，对公司业务进行一定的干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公司管理层在总经理领导下，认真执行董事会确定的内部控制战略，为了有效贯彻公司董事会制定的经营方针及发展战略，设立了投资决策委员会，就基金投资等发表专业意见及建议。</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此外，公司设有督察长，组织指导公司的监察与稽核工作，对公司和基金运作的合法性、合规性进行全面检查与监督，发生重大合规事件时向公司董事长和中国证监会报告。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2）风险评估</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公司风险控制人员定期评估公司风险状况，范围包括所有能对经营目标产生负面影响的内部和外部因素，评估这些因素对公司总体经营目标产生影响的程度及可能性，并将评估报告报公司董事会及高层管理人员。</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3）操作控制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内部组织结构的设计方面，体现部门之间职责有分工，但部门之间又相互合作与制衡的原则。基金投资管理、基金运作、市场等业务部门有明确的授权分工，各部门的操作相互独立，并且有独立的报告系统。各业务部门之间相互核对、相互牵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各业务部门内部工作岗位分工合理、职责明确，形成相互检查、相互制约的关系，以减少舞弊或差错发生的风险，各工作岗位均制定有相应的书面管理制度。</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在明确的岗位责任制度基础上，设置科学、合理、标准化的业务操作流程，每项业务操作有清晰、书面化的操作手册，同时，规定完备的处理手续，保存人员进行处理。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4）信息与沟通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公司建立了内部办公自动化信息系统与业务汇报体系，通过建立有效的信息交流渠道，保证公司员工及各级管理人员可以充分了解与其职责相关的信息，保证信息及时送达适当的人员进行处理。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5）监督与内部稽核</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设立了独立于各业务部门的监察稽核部，其中监察稽核人员履行内部稽核职能，检查、评价公司内部控制制度合法合规性。监察稽核人员具有相对的独立性，定期出具合规报告，报公司督察长、董事会及中国证监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（3）基金管理人关于内部控制制度的声明</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1）基金管理人确知建立、实施和维持内部控制制度是基金管理人董事会及管理层的责任；</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2）上述关于内部控制制度的披露真实、准确；</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3）基金管理人承诺将根据市场环境的变化及基金管理人的发展不断完善内部控制制度。</w:t>
      </w:r>
    </w:p>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7" w:name="_Toc139637436"/>
      <w:r>
        <w:rPr>
          <w:rFonts w:ascii="宋体" w:hAnsi="宋体"/>
          <w:sz w:val="30"/>
        </w:rPr>
        <w:t>四、基金托管人</w:t>
      </w:r>
      <w:bookmarkEnd w:id="7"/>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（一）基金托管人情况</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1、基本情况</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名称：中国农业银行股份有限公司（简称中国农业银行）</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住所：北京市东城区建国门内大街69号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办公地址：北京市西城区复兴门内大街28号凯晨世贸中心东座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法定代表人：谷澍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成立日期：2009年1月15日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批准设立机关和批准设立文号：中国银监会银监复[2009]13号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基金托管资格批文及文号：中国证监会证监基字[1998]23号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注册资本：34,998,303.4万元人民币</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联系电话：010-66060069</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传真：010-68121816</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联系人：秦一楠</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是中国第一批开展托管业务的国内商业银行，经验丰富，服务优质，业绩突出，2004年被英国《全球托管人》评为中国“最佳托管银行”。2007年中国农业银行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佳资产托管奖”。2012年荣获第十届中国财经风云榜“最佳资产托管银行”称号；2013年至2017年连续荣获上海清算所授予的“托管银行优秀奖”和中央国债登记结算有限责任公司授予的“优秀托管机构奖”称号；2015年、2016年荣获中国银行业协会授予的“养老金业务最佳发展奖”称号；2018年荣获中国基金报授予的公募基金20年“最佳基金托管银行”奖；2019年荣获证券时报授予的“2019年度资产托管银行天玑奖”称号；2020年被美国《环球金融》评为中国“最佳托管银行”；2021年荣获全国银行间同业拆借中心首次设立的“银行间本币市场优秀托管行”奖；2022年在权威杂志《财资》年度评选中首次荣获“中国最佳保险托管银行”。</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证券投资基金托管部于1998年5月经中国证监会和中国人民银行批准成立，目前内设风险合规部/综合管理部、业务管理部、客户一部、客户二部、客户三部、客户四部、系统与信息管理部、营运管理部、营运一部、营运二部，拥有先进的安全防范设施和基金托管业务系统。</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2、主要人员情况</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托管业务部现有员工近283名，其中具有高级职称的专家60名，服务团队成员专业水平高、业务素质好、服务能力强，高级管理层均有20年以上金融从业经验和高级技术职称，精通国内外证券市场的运作。</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3、基金托管业务经营情况</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截止到2023年3月31日，中国农业银行托管的封闭式证券投资基金和开放式证券投资基金共808只。</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（二）、基金托管人的内部风险控制制度说明</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1、内部控制目标</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2、内部控制组织结构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3、内部控制制度及措施</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（三）、基金托管人对基金管理人运作基金进行监督的方法和程序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当基金出现异常交易行为时，基金托管人应当针对不同情况进行以下方式的处理：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1、电话提示。对媒体和舆论反映集中的问题，电话提示基金管理人；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2、书面警示。对本基金投资比例接近超标、资金头寸不足等问题，以书面方式对基金管理人进行提示；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3、书面报告。对投资比例超标、清算资金透支以及其他涉嫌违规交易等行为，书面提示有关基金管理人并报中国证监会。</w:t>
      </w:r>
    </w:p>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8" w:name="_Toc139637437"/>
      <w:r>
        <w:rPr>
          <w:rFonts w:ascii="宋体" w:hAnsi="宋体"/>
          <w:sz w:val="30"/>
        </w:rPr>
        <w:t>五、相关服务机构</w:t>
      </w:r>
      <w:bookmarkEnd w:id="8"/>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（一）基金份额销售机构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1.直销机构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（1）银华基金管理股份有限公司北京直销中心</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北京市东城区东长安街1号东方广场东方经贸城C2办公楼15层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010-58162950</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传真</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010-58162951</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展璐</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（2）银华基金管理股份有限公司网上直销交易系统</w:t>
      </w:r>
    </w:p>
    <w:tbl>
      <w:tblPr>
        <w:tblW w:w="5000" w:type="pct"/>
        <w:tblLayout w:type="fixed"/>
        <w:tblCellMar>
          <w:left w:w="0" w:type="dxa"/>
          <w:right w:w="0" w:type="dxa"/>
        </w:tblCellMar>
        <w:tblLook w:val="0000" w:firstRow="0" w:lastRow="0" w:firstColumn="0" w:lastColumn="0" w:noHBand="0" w:noVBand="0"/>
      </w:tblPr>
      <w:tblGrid>
        <w:gridCol w:w="1725"/>
        <w:gridCol w:w="694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网上交易网址</w:t>
            </w:r>
          </w:p>
        </w:tc>
        <w:tc>
          <w:tcPr>
            <w:tcW w:w="1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https://trade.yhfund.com.cn/yhxntrade</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移动端站点</w:t>
            </w:r>
          </w:p>
        </w:tc>
        <w:tc>
          <w:tcPr>
            <w:tcW w:w="1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请到基金管理人官方网站或各大移动应用市场下载“银华生利宝”手机APP或关注“银华基金”官方微信</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客户服务电话</w:t>
            </w:r>
          </w:p>
        </w:tc>
        <w:tc>
          <w:tcPr>
            <w:tcW w:w="1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010-85186558，4006783333</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投资人可以通过基金管理人网上直销交易系统办理本基金的开户和认购手续，具体交易细则请参阅基金管理人网站公告。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2.其他销售机构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（1）上海农村商业银行股份有限公司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上海市浦东新区银城中路8号15-20楼、22-27楼</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冀光恒</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021-962999；400-696-2999</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www.srcb.com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（2）中国农业银行股份有限公司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北京市东城区建国门内大街69号</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谷澍</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95599</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www.abchina.com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（3）江苏银行股份有限公司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南京市中华路26号</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夏平</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95319</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www.jsbchina.cn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（4）招商银行股份有限公司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深圳市福田区深南大道7088号</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缪建民</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95555</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www.cmbchina.com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（5）宁波银行股份有限公司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宁波市鄞州区宁南南路700号</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陆华裕</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95574</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www.nbcb.com.cn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（6）兴业银行股份有限公司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福州市湖东路154号中山大厦</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吕家进</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95561</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www.cib.com.cn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（7）爱建证券有限责任公司</w:t>
      </w:r>
    </w:p>
    <w:tbl>
      <w:tblPr>
        <w:tblW w:w="5000" w:type="pct"/>
        <w:tblLayout w:type="fixed"/>
        <w:tblCellMar>
          <w:left w:w="0" w:type="dxa"/>
          <w:right w:w="0" w:type="dxa"/>
        </w:tblCellMar>
        <w:tblLook w:val="0000" w:firstRow="0" w:lastRow="0" w:firstColumn="0" w:lastColumn="0" w:noHBand="0" w:noVBand="0"/>
      </w:tblPr>
      <w:tblGrid>
        <w:gridCol w:w="1725"/>
        <w:gridCol w:w="694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上海市世纪大道1600号32楼</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钱华</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1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www.ajzq.com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（8）中国银河证券股份有限公司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北京市丰台区西营街8号院1号楼7至18层101</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陈亮</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400-888-8888；95551</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www.chinastock.com.cn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（9）中信证券股份有限公司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广东省深圳市福田区中心三路8号卓越时代广场（二期）北座</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张佑君</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95548</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www.cs.ecitic.com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（10）中信期货有限公司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深圳市福田区中心三路8号卓越时代广场（二期）北座13层1301-1305室、14层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张皓</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400-990-8826</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www.citicsf.com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（11）粤开证券股份有限公司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广州经济技术开发区科学大道60号开发区金控中心21、22、23层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严亦斌</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95564</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http://www.ykzq.com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（12）天风证券股份有限公司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湖北省武汉市东湖新技术开发区关东园路2号高科大厦4楼</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余磊</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95391；400-800-5000</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www.tfzq.com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（13）华龙证券股份有限公司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兰州市城关区东岗西路638号兰州财富中心21楼</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祁建邦</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95368</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www.hlzq.com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（14）华福证券有限责任公司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福州市五四路157号新天地大厦7、8层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黄金琳</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96326（福建省外请先拨0591）</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www.hfzq.com.cn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（15）华鑫证券有限责任公司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深圳市福田区莲花街道福中社区深南大道2008号中国凤凰大厦1栋20C-1房</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俞洋</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95323；400-109-9918</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www.cfsc.com.cn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（16）国都证券股份有限公司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北京市东城区东直门南大街3号国华投资大厦9层、10层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翁振杰</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400-818-8118</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www.guodu.com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（17）光大证券股份有限公司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上海市静安区新闸路1508号</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刘秋明</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95525</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www.ebscn.com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（18）东吴证券股份有限公司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苏州工业园区星阳街5号东吴证券大厦</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范力</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95330</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http://www.dwzq.com.cn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（19）安信证券股份有限公司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深圳市福田区福田街道福华一路119号安信金融大厦</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黄炎勋</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95517</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http://www.essence.com.cn/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（20）东海证券股份有限公司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江苏省常州市延陵西路23号投资广场18层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钱俊文</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95531；400-888-8588</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http://www.longone.com.cn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（21）东北证券股份有限公司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长春市生态大街6666号</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李福春</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95360</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www.nesc.cn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（22）第一创业证券股份有限公司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深圳市福田区福华一路115号投行大厦20楼</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刘学民</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95358</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www.firstcapital.com.cn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（23）大同证券有限责任公司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山西省大同市平城区迎宾街15号桐城中央21层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董祥</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400-712-1212</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www.dtsbc.com.cn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（24）长江证券股份有限公司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武汉市新华路特8号长江证券大厦</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李新华</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95579；400-8888-999</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www.95579.com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（25）渤海证券股份有限公司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天津市经济技术开发区第二大街42号写字楼101室</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王春峰</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400-651-5988</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www.ewww.com.cn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（26）中信证券(山东)有限责任公司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青岛市崂山区深圳路222号1号楼2001</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陈佳春</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95548</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sd.citics.com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（27）西部证券股份有限公司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西安市新城区东新街319号8幢10000室</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徐朝晖</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95582</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www.westsecu.com.cn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（28）华安证券股份有限公司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安徽省合肥市政务文化新区天鹅湖路198号</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章宏韬</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95318</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www.hazq.com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（29）世纪证券有限责任公司</w:t>
      </w:r>
    </w:p>
    <w:tbl>
      <w:tblPr>
        <w:tblW w:w="5000" w:type="pct"/>
        <w:tblLayout w:type="fixed"/>
        <w:tblCellMar>
          <w:left w:w="0" w:type="dxa"/>
          <w:right w:w="0" w:type="dxa"/>
        </w:tblCellMar>
        <w:tblLook w:val="0000" w:firstRow="0" w:lastRow="0" w:firstColumn="0" w:lastColumn="0" w:noHBand="0" w:noVBand="0"/>
      </w:tblPr>
      <w:tblGrid>
        <w:gridCol w:w="1725"/>
        <w:gridCol w:w="694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深圳市前海深港合作区南山街道桂湾五路128号前海深港基金小镇对冲基金中心406</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李强</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1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www.csco.com.cn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（30）中信建投证券股份有限公司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北京市朝阳区安立路66号4号楼</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王常青</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400-888-8108</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www.csc108.com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（31）中信证券华南股份有限公司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广州市天河区珠江西路5号广州国际金融中心主塔19层、20层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胡伏云</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95396</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www.gzs.com.cn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（32）国泰君安证券股份有限公司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中国（上海）自由贸易试验区商城路618号</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贺青</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95521</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www.gtja.com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（33）江海证券有限公司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黑龙江省哈尔滨市香坊区赣水路56号</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赵洪波</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956007</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www.jhzq.com.cn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（34）民生证券股份有限公司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北京市东城区建国门内大街28号民生金融中心A座16-18层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余政</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400-619-8888</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www.mszq.com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（35）东方财富证券股份有限公司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西藏自治区拉萨市柳梧新区国际总部城10栋楼</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曾鑫杰</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95357</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www.18.cn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（36）北京增财基金销售有限公司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北京市西城区南礼士路66号建威大厦1208室</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闫丽敏</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400-001-8811</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www.zcvc.com.cn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（37）中国国际期货股份有限公司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北京市朝阳区光华路14号中期大厦B座4层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蔡婧</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95162</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www.cifco.net</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（38）一路财富(北京)基金销售有限公司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北京市海淀区奥北科技园-国泰大厦9层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董宣</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400-0011-566</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www.yilucaifu.com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（39）深圳众禄基金销售股份有限公司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深圳市罗湖区笋岗街道笋西社区梨园路8号HALO广场一期四层12-13室</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龚江江</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4006-788-887</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www.zlfund.cn及www.jjmmw.com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（40）上海陆金所基金销售有限公司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上海市浦东新区陆家嘴1333号</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宁博宇</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400-821-9031</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www.lufunds.com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（41）上海联泰基金销售有限公司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上海市长宁区金钟路658弄2号楼B座6楼</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兰敏</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4000-466-788</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www.66liantai.com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（42）上海利得基金销售有限公司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上海市虹口区东大名路1098号浦江国际金融广场53层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张佳慧</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400-032-5885</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www.leadfund.com.cn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（43）上海长量基金销售有限公司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上海市浦东新区东方路1267号陆家嘴金融服务广场二期11层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陆倩</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400-820-2899</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www.erichfund.com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（44）浦领基金销售有限公司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北京市朝阳区望京东园四区2号楼10层1001号04室</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李艳</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400-012-5899</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www.zscffund.com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（45）诺亚正行基金销售有限公司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上海市杨浦区长阳路1687号2号楼2楼</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李娟</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400-821-5399</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www.noah-fund.com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（46）嘉实财富管理有限公司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北京市朝阳区建国门外大街21号北京国际俱乐部C座写字楼11层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郭希璆</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400-021-8850</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www.harvestwm.cn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（47）海银基金销售有限公司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上海市浦东新区东方路1217号陆家嘴金融服务广场16楼</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吴力群</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400-808-1016</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www.fundhaiyin.com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（48）北京钱景基金销售有限公司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北京市海淀区海淀南路13号楼6层616室</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白皓</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400-678-5095</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www.niuji.net</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（49）北京汇成基金销售有限公司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北京市西城区西直门外大街1号院2号楼19层19C13</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宋子琪</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400-619-9059</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www.hcjijin.com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（50）北京展恒基金销售股份有限公司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北京市朝阳区德胜门外华严北里2号民建大厦6层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李晓芳</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400-888-6661</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www.myfund.com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（51）浙江同花顺基金销售有限公司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杭州市余杭区五常街道同顺街18号 同花顺大楼4层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董一锋</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952555</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www.5ifund.com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（52）上海万得基金销售有限公司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上海自由贸易试验区福山路33号11楼B座</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徐亚丹</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400-821-0203</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www.520fund.com.cn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（53）上海挖财基金销售有限公司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中国(上海)自由贸易试验区杨高南路759号18层03单元</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毛善波</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400-711-8718</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www.wacaijijin.com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（54）上海通华财富资产管理有限公司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上海市浦东新区陆家嘴世纪金融广场杨高南路799号3号楼9楼</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云澎</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95156转6或 400-66-95156转6</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www.tonghuafund.com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（55）上海华夏财富投资管理有限公司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北京市西城区金融大街33号通泰大厦B座8层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张静怡</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400-817-5666</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www.amcfortune.com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（56）上海大智慧基金销售有限公司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上海自由贸易试验区杨高南路428号1号楼1102单元</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施燕华</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021-20292031</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www.gw.com.cn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（57）凤凰金信(海口)基金销售有限公司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北京市朝阳区紫月路18号院朝来高科技产业园18号楼</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张旭</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4008105919</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www.fengfd.com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（58）北京雪球基金销售有限公司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北京市朝阳区创远路34号院6号楼15层1501室</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丁晗</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400-061-8518</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www.danjuanapp.com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（59）天津国美基金销售有限公司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北京市朝阳区霄云路26号鹏润大厦B座19层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杨雪</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400-111-0889</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www.gomefund.com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（60）深圳市新兰德证券投资咨询有限公司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北京市西城区金融大街35号国际企业大厦C座9层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张燕</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4008507771</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t.jrj.com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（61）上海天天基金销售有限公司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上海市徐汇区宛平南路88号金座东方财富大厦</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屠彦洋</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400-1818-188</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www.1234567.com.cn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（62）上海好买基金销售有限公司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上海市浦东新区浦东南路1118号鄂尔多斯国际大厦9楼（200120）</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罗梦</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400-700-9665</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www.ehowbuy.com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（63）南京苏宁基金销售有限公司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南京市玄武区苏宁大道1-5号</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王旋</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95177</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www.suning.com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（64）蚂蚁(杭州)基金销售有限公司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浙江省杭州市西湖区西溪路556号</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韩爱彬</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95188-8</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www.fund123.cn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（65）京东肯特瑞基金销售有限公司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北京市通州区亦庄经济开发区科创十一街18号院京东集团总部A座15层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隋斌</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95118</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fund.jd.com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（66）北京虹点基金销售有限公司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北京市朝阳区工人体育馆北路甲2号盈科中心B座裙楼二层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牛亚楠</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400-618-0707</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www.hongdianfund.com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（67）北京中植基金销售有限公司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北京市朝阳区东三环中路20号乐成中心A座23层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张敏</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400-786-8868-5</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www.chtfund.com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（68）北京创金启富基金销售有限公司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北京市西城区民丰胡同31号5号楼215A</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杨文龙</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010-88067525</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www.5irich.com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（69）上海基煜基金销售有限公司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上海市浦东新区银城中路488号太平金融大厦1503室</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王步提</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400-820-5369</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https://www.jiyufund.com.cn/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（70）宜信普泽(北京)基金销售有限公司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北京市朝阳区光华路7号楼20层20A1、20A2单元</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魏晨</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400-6099-200</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www.yixinfund.com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（71）珠海盈米基金销售有限公司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广州市海珠区琶洲大道东1号保利国际广场南塔12楼B1201-1203</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黄敏嫦</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020-89629066</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www.yingmi.cn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（72）中国人寿保险股份有限公司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中国北京市西城区金融大街16号</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王滨</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95519</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www.e-chinalife.com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（73）腾安基金销售(深圳)有限公司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深圳市南山区海天二路33号腾讯滨海大厦15层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谭广锋</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95017（转1转8）</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www.tenganxinxi.com或www.txfund.com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（74）北京度小满基金销售有限公司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北京市海淀区西北旺东路10号院西区4号楼</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孙博超</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95055-4</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www.baiyingfund.com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（75）泰信财富基金销售有限公司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北京市朝阳区建国路甲92号-4至24层内10层1012</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张虎</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400-004-8821</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www.taixincf.com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（以上排名不分先后）</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基金管理人可根据《基金法》、《运作办法》、《销售办法》和基金合同等的规定，选择其他符合要求的机构销售本基金，并在基金管理人网站公示。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（二）登记机构</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名称</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银华基金管理股份有限公司</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住所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深圳市福田区深南大道6008号特区报业大厦19层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北京市东城区东长安街1号东方广场东方经贸城C2办公楼15层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王珠林</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伍军辉</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010-58163000</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传真</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010-58162824</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（三）出具法律意见书的律师事务所</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名称</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上海市通力律师事务所</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住所及办公地址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上海市银城中路68号时代金融中心19楼</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负责人</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韩炯</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陈颖华</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021-31358666</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传真</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021-31358600</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经办律师</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黎明、陈颖华</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（四）审计基金财产的会计师事务所</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名称</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德勤华永会计师事务所(特殊普通合伙)</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住所及办公地址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上海市黄浦区延安东路222号30楼</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曾顺福</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杨婧</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021-61418888</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传真</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021-63350003</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经办注册会计师</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郝琪、杨婧</w:t>
            </w:r>
          </w:p>
        </w:tc>
      </w:tr>
    </w:tbl>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9" w:name="_Toc139637438"/>
      <w:r>
        <w:rPr>
          <w:rFonts w:ascii="宋体" w:hAnsi="宋体"/>
          <w:sz w:val="30"/>
        </w:rPr>
        <w:t>六、基金的募集</w:t>
      </w:r>
      <w:bookmarkEnd w:id="9"/>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（一）基金募集的依据</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本基金由基金管理人依照《基金法》、《运作办法》、《销售办法》、《信息披露办法》、基金合同及其他有关规定，经中国证监会2018年7月24日证监许可【2018】1177号准予募集注册。</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本基金已于2018年11月30日结束募集，募集期净认购金额及利息结转的基金份额共计13,441,800.22份，有效认购户数为446户。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（二）基金类别</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混合型证券投资基金</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（三）基金的运作方式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契约型开放式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（四）基金存续期限</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不定期</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之日起三年后的对应自然日，若基金资产规模低于2亿元，基金合同应当按照基金合同约定的程序进行清算并终止，且不得通过召开基金持有人大会的方式延续。若届时的法律法规或中国证监会规定发生变化，上述终止规定被取消、更改或补充时，则本基金可以参照届时有效的法律法规或中国证监会规定执行。</w:t>
      </w:r>
    </w:p>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10" w:name="_Toc139637439"/>
      <w:r>
        <w:rPr>
          <w:rFonts w:ascii="宋体" w:hAnsi="宋体"/>
          <w:sz w:val="30"/>
        </w:rPr>
        <w:t>七、基金合同的生效</w:t>
      </w:r>
      <w:bookmarkEnd w:id="10"/>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本基金基金合同生效日为2018年12月7日。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自《基金合同》生效之日起满三年后本基金继续存续的，连续20个工作日出现基金份额持有人数量不满200人或者基金资产净值低于5,000万元情形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之日起三年后的对应自然日，若基金资产规模低于2亿元，基金合同应当按照基金合同约定的程序进行清算并终止，且不得通过召开基金份额持有人大会的方式延续。若届时的法律法规或中国证监会规定发生变化，上述终止规定被取消、更改或补充时，则本基金可以参照届时有效的法律法规或中国证监会规定执行。</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法律法规或中国证监会另有规定时，从其规定。</w:t>
      </w:r>
    </w:p>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11" w:name="_Toc139637440"/>
      <w:r>
        <w:rPr>
          <w:rFonts w:ascii="宋体" w:hAnsi="宋体"/>
          <w:sz w:val="30"/>
        </w:rPr>
        <w:t>八、基金份额的申购与赎回</w:t>
      </w:r>
      <w:bookmarkEnd w:id="11"/>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（一）申购和赎回的场所</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申购与赎回将通过销售机构进行。具体的销售机构名单详见本招募说明书“五、相关服务机构”或其他相关公告。基金管理人可根据情况变更或增减销售机构，并在基金管理人网站公示。若基金管理人或其指定的其他销售机构开通电话、传真或网上等交易方式，投资人可通过上述方式进行申购与赎回。投资人应当在销售机构办理基金销售业务的营业场所或按销售机构提供的其他方式办理基金份额的申购与赎回。</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（二）基金销售对象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符合法律法规规定的可投资于证券投资基金的个人投资者、机构投资者、合格境外投资者以及法律法规或中国证监会允许购买证券投资基金的其他投资人。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（三）申购和赎回的开放日及时间</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1、开放日及开放时间</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在开放日办理基金份额的申购和赎回，开放日的具体业务办理时间为上海证券交易所、深圳证券交易所的正常交易日的交易时间，若该工作日为非港股通交易日，则本基金不开放；但基金管理人根据法律法规、中国证监会的要求或基金合同的规定公告暂停申购、赎回时除外。</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若出现新的证券/期货交易市场、证券/期货交易所交易时间变更或其他特殊情况，基金管理人有权视情况对前述开放日及开放时间进行相应的调整，但应在实施日前依照《信息披露办法》的有关规定在规定媒介上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2、申购、赎回开始日及业务办理时间</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本基金自2019年3月4日起开始办理申购、赎回业务。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（四）申购与赎回的原则</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1、“未知价”原则，即申购、赎回价格以受理申请当日收市后计算的基金份额净值为基准进行计算；</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2、“金额申购、份额赎回”原则，即申购以金额申请，赎回以份额申请；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3、当日的申购与赎回申请可以在基金管理人规定的时间以内撤销，在当日业务办理时间结束后不得撤销；</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4、赎回遵循“先进先出”原则，即按照投资人持有基金份额登记日期的先后次序进行顺序赎回。</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基金管理人可在法律法规允许的情况下，对上述原则进行调整。基金管理人必须在新规则开始实施前依照《信息披露办法》的有关规定在规定媒介上公告。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（五）申购与赎回的程序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1、申购和赎回的申请方式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必须根据销售机构规定的程序，在开放日的具体业务办理时间内提出申购或赎回的申请。投资人办理申购、赎回等业务时应提交的文件和办理手续、办理时间、处理规则等，在遵守基金合同和招募说明书规定的前提下，以各销售机构的具体规定为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2、申购和赎回的款项支付</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投资人申购基金份额时，必须按销售机构规定的方式全额交付申购款项。投资人交付申购款项，申购成立；登记机构确认基金份额时，申购生效。</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递交赎回申请，赎回成立；登记机构确认赎回时，赎回生效。投资人赎回申请生效后，基金管理人将通过登记机构及其相关基金销售机构在T＋7日(包括该日)内将赎回款项划往基金份额持有人银行账户，但中国证监会另有规定时除外。遇证券、期货交易所或交易市场数据传输延迟、通讯系统故障、银行数据交换系统故障或其它非基金管理人及基金托管人所能控制的因素影响业务处理流程时，赎回款项顺延至上述因素消除的下一个工作日划出。在发生巨额赎回或基金合同载明的其他暂停赎回或延缓支付赎回款项的情形时，款项的支付办法参照基金合同有关条款处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3、申购和赎回申请的确认</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立或无效，则投资人已缴付的申购款项本金将退还给投资人账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销售机构对申购、赎回申请的受理并不代表申请一定成功，而仅代表销售机构确实接收到申购、赎回申请，申购与赎回申请的确认以登记机构的确认结果为准。对于申请的确认情况，投资人应及时查询并妥善行使合法权利。因投资人怠于履行该项查询等各项义务，致使其相关权益受损的，基金管理人、基金托管人、其他基金销售机构不承担由此造成的损失或不利后果。如因申请未得到登记机构的确认而造成的损失，由投资人自行承担。</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在法律法规允许的范围内，基金管理人可根据业务规则，对上述业务办理时间进行调整并将于开始实施前按照有关规定公告。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（六）申购金额和赎回份额的限制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在本基金其他销售机构的销售网点及网上直销交易系统进行申购时，每个基金账户首笔申购的最低金额为人民币10元，每笔追加申购的最低金额为人民币10元。直销中心办理业务时以其相关规则为准，基金管理人直销机构或各销售机构对最低申购限额及交易级差另有规定的，从其规定，但不得低于上述最低申购金额。</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份额持有人在销售机构办理赎回时，每笔赎回申请的最低份额为10份基金份额；基金份额持有人可将其全部或部分基金份额赎回，基金份额持有人办理某笔赎回业务时或办理某笔赎回业务后在销售机构（网点）单个交易账户保留的基金份额余额不足10份的，余额部分基金份额必须一同赎回。</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3.投资人将所申购的基金份额当期分配的基金收益转为基金份额时，不受最低申购金额的限制。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有权对单个投资人累计持有的基金份额上限或累计持有的基金份额占基金份额总数的比例上限进行限制。如本基金单一投资人（基金管理人、基金管理人高级管理人员或基金经理作为发起资金提供方除外）累计申购的基金份额数达到或者超过基金总份额的50%，基金管理人有权对该投资人的申购申请进行限制。基金管理人接受某笔或者某些申购申请有可能导致单一投资人（基金管理人、基金管理人高级管理人员或基金经理作为发起资金提供方除外）持有基金份额的比例达到或者超过50%，或者变相规避前述50%比例要求的，基金管理人有权拒绝该等全部或者部分申购申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当接受申购申请对存量基金份额持有人利益构成潜在重大不利影响时，基金管理人应当采取设定单一投资人申购金额上限或基金单日净申购比例上限、拒绝大额申购、暂停基金申购等措施，切实保护存量基金份额持有人的合法权益。具体规定请参见基金管理人发布的相关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6.基金管理人可在法律法规允许的情况下，调整上述规定申购金额和赎回份额的数量限制。基金管理人必须在调整实施前依照《信息披露办法》的有关规定在规定媒介上公告。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（七）申购和赎回的费用及其用途</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1.申购费率</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投资人申购本基金基金份额所适用的申购费率如下所示：</w:t>
      </w:r>
    </w:p>
    <w:tbl>
      <w:tblPr>
        <w:tblW w:w="5000" w:type="pct"/>
        <w:tblLayout w:type="fixed"/>
        <w:tblCellMar>
          <w:left w:w="0" w:type="dxa"/>
          <w:right w:w="0" w:type="dxa"/>
        </w:tblCellMar>
        <w:tblLook w:val="0000" w:firstRow="0" w:lastRow="0" w:firstColumn="0" w:lastColumn="0" w:noHBand="0" w:noVBand="0"/>
      </w:tblPr>
      <w:tblGrid>
        <w:gridCol w:w="2890"/>
        <w:gridCol w:w="2890"/>
        <w:gridCol w:w="2890"/>
      </w:tblGrid>
      <w:tr w:rsidR="00BE2C03">
        <w:trPr>
          <w:cantSplit/>
          <w:trHeight w:val="375"/>
        </w:trPr>
        <w:tc>
          <w:tcPr>
            <w:tcW w:w="0" w:type="dxa"/>
            <w:vMerge w:val="restart"/>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普通客户适用申购费率</w:t>
            </w:r>
          </w:p>
        </w:tc>
        <w:tc>
          <w:tcPr>
            <w:tcW w:w="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申购金额（M,含申购费）</w:t>
            </w:r>
          </w:p>
        </w:tc>
        <w:tc>
          <w:tcPr>
            <w:tcW w:w="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申购费率</w:t>
            </w:r>
          </w:p>
        </w:tc>
      </w:tr>
      <w:tr w:rsidR="00BE2C03">
        <w:trPr>
          <w:cantSplit/>
          <w:trHeight w:val="375"/>
        </w:trPr>
        <w:tc>
          <w:tcPr>
            <w:tcW w:w="0" w:type="dxa"/>
            <w:vMerge/>
            <w:tcBorders>
              <w:top w:val="single" w:sz="4" w:space="0" w:color="auto"/>
              <w:left w:val="single" w:sz="4" w:space="0" w:color="auto"/>
              <w:bottom w:val="single" w:sz="4" w:space="0" w:color="auto"/>
              <w:right w:val="single" w:sz="4" w:space="0" w:color="auto"/>
            </w:tcBorders>
            <w:vAlign w:val="center"/>
          </w:tcPr>
          <w:p w:rsidR="00BE2C03" w:rsidRDefault="00BE2C03">
            <w:pPr>
              <w:widowControl/>
              <w:snapToGrid w:val="0"/>
              <w:jc w:val="center"/>
              <w:rPr>
                <w:rFonts w:ascii="宋体" w:hAnsi="宋体"/>
                <w:color w:val="000000"/>
                <w:kern w:val="0"/>
                <w:sz w:val="25"/>
                <w:szCs w:val="24"/>
              </w:rPr>
            </w:pPr>
          </w:p>
        </w:tc>
        <w:tc>
          <w:tcPr>
            <w:tcW w:w="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M&lt;100万元</w:t>
            </w:r>
          </w:p>
        </w:tc>
        <w:tc>
          <w:tcPr>
            <w:tcW w:w="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1.50%</w:t>
            </w:r>
          </w:p>
        </w:tc>
      </w:tr>
      <w:tr w:rsidR="00BE2C03">
        <w:trPr>
          <w:cantSplit/>
          <w:trHeight w:val="375"/>
        </w:trPr>
        <w:tc>
          <w:tcPr>
            <w:tcW w:w="0" w:type="dxa"/>
            <w:vMerge/>
            <w:tcBorders>
              <w:top w:val="single" w:sz="4" w:space="0" w:color="auto"/>
              <w:left w:val="single" w:sz="4" w:space="0" w:color="auto"/>
              <w:bottom w:val="single" w:sz="4" w:space="0" w:color="auto"/>
              <w:right w:val="single" w:sz="4" w:space="0" w:color="auto"/>
            </w:tcBorders>
            <w:vAlign w:val="center"/>
          </w:tcPr>
          <w:p w:rsidR="00BE2C03" w:rsidRDefault="00BE2C03">
            <w:pPr>
              <w:widowControl/>
              <w:snapToGrid w:val="0"/>
              <w:jc w:val="center"/>
              <w:rPr>
                <w:rFonts w:ascii="宋体" w:hAnsi="宋体"/>
                <w:color w:val="000000"/>
                <w:kern w:val="0"/>
                <w:sz w:val="25"/>
                <w:szCs w:val="24"/>
              </w:rPr>
            </w:pPr>
          </w:p>
        </w:tc>
        <w:tc>
          <w:tcPr>
            <w:tcW w:w="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100万元≤M&lt;200万元</w:t>
            </w:r>
          </w:p>
        </w:tc>
        <w:tc>
          <w:tcPr>
            <w:tcW w:w="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1.00%</w:t>
            </w:r>
          </w:p>
        </w:tc>
      </w:tr>
      <w:tr w:rsidR="00BE2C03">
        <w:trPr>
          <w:cantSplit/>
          <w:trHeight w:val="375"/>
        </w:trPr>
        <w:tc>
          <w:tcPr>
            <w:tcW w:w="0" w:type="dxa"/>
            <w:vMerge/>
            <w:tcBorders>
              <w:top w:val="single" w:sz="4" w:space="0" w:color="auto"/>
              <w:left w:val="single" w:sz="4" w:space="0" w:color="auto"/>
              <w:bottom w:val="single" w:sz="4" w:space="0" w:color="auto"/>
              <w:right w:val="single" w:sz="4" w:space="0" w:color="auto"/>
            </w:tcBorders>
            <w:vAlign w:val="center"/>
          </w:tcPr>
          <w:p w:rsidR="00BE2C03" w:rsidRDefault="00BE2C03">
            <w:pPr>
              <w:widowControl/>
              <w:snapToGrid w:val="0"/>
              <w:jc w:val="center"/>
              <w:rPr>
                <w:rFonts w:ascii="宋体" w:hAnsi="宋体"/>
                <w:color w:val="000000"/>
                <w:kern w:val="0"/>
                <w:sz w:val="25"/>
                <w:szCs w:val="24"/>
              </w:rPr>
            </w:pPr>
          </w:p>
        </w:tc>
        <w:tc>
          <w:tcPr>
            <w:tcW w:w="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200万元≤M&lt;500万元</w:t>
            </w:r>
          </w:p>
        </w:tc>
        <w:tc>
          <w:tcPr>
            <w:tcW w:w="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0.60%</w:t>
            </w:r>
          </w:p>
        </w:tc>
      </w:tr>
      <w:tr w:rsidR="00BE2C03">
        <w:trPr>
          <w:cantSplit/>
          <w:trHeight w:val="375"/>
        </w:trPr>
        <w:tc>
          <w:tcPr>
            <w:tcW w:w="0" w:type="dxa"/>
            <w:vMerge/>
            <w:tcBorders>
              <w:top w:val="single" w:sz="4" w:space="0" w:color="auto"/>
              <w:left w:val="single" w:sz="4" w:space="0" w:color="auto"/>
              <w:bottom w:val="single" w:sz="4" w:space="0" w:color="auto"/>
              <w:right w:val="single" w:sz="4" w:space="0" w:color="auto"/>
            </w:tcBorders>
            <w:vAlign w:val="center"/>
          </w:tcPr>
          <w:p w:rsidR="00BE2C03" w:rsidRDefault="00BE2C03">
            <w:pPr>
              <w:widowControl/>
              <w:snapToGrid w:val="0"/>
              <w:jc w:val="center"/>
              <w:rPr>
                <w:rFonts w:ascii="宋体" w:hAnsi="宋体"/>
                <w:color w:val="000000"/>
                <w:kern w:val="0"/>
                <w:sz w:val="25"/>
                <w:szCs w:val="24"/>
              </w:rPr>
            </w:pPr>
          </w:p>
        </w:tc>
        <w:tc>
          <w:tcPr>
            <w:tcW w:w="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M≥500万元</w:t>
            </w:r>
          </w:p>
        </w:tc>
        <w:tc>
          <w:tcPr>
            <w:tcW w:w="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按笔固定收取，1000元/笔</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2.赎回费率</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持续持有期少于30天的投资人收取的赎回费，将全额计入基金财产；对持续持有期大于等于30天但少于90天的投资人收取的赎回费，将赎回费总额的75%计入基金财产；对持续持有期大于等于90天但少于180天的投资人收取的赎回费，将赎回费总额的50%计入基金财产；对持续持有期大于等于180天的投资人，将赎回费总额的25%归入基金财产。未计入基金财产的部分用于支付注册登记费等相关手续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本基金基金份额赎回费率按持有期限的长短分档，具体如下：</w:t>
      </w:r>
    </w:p>
    <w:tbl>
      <w:tblPr>
        <w:tblW w:w="5000" w:type="pct"/>
        <w:tblLayout w:type="fixed"/>
        <w:tblCellMar>
          <w:left w:w="0" w:type="dxa"/>
          <w:right w:w="0" w:type="dxa"/>
        </w:tblCellMar>
        <w:tblLook w:val="0000" w:firstRow="0" w:lastRow="0" w:firstColumn="0" w:lastColumn="0" w:noHBand="0" w:noVBand="0"/>
      </w:tblPr>
      <w:tblGrid>
        <w:gridCol w:w="2890"/>
        <w:gridCol w:w="2890"/>
        <w:gridCol w:w="2890"/>
      </w:tblGrid>
      <w:tr w:rsidR="00BE2C03">
        <w:trPr>
          <w:cantSplit/>
          <w:trHeight w:val="375"/>
        </w:trPr>
        <w:tc>
          <w:tcPr>
            <w:tcW w:w="0" w:type="dxa"/>
            <w:vMerge w:val="restart"/>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赎回费率</w:t>
            </w:r>
          </w:p>
        </w:tc>
        <w:tc>
          <w:tcPr>
            <w:tcW w:w="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持有期限（Y）</w:t>
            </w:r>
          </w:p>
        </w:tc>
        <w:tc>
          <w:tcPr>
            <w:tcW w:w="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赎回费率</w:t>
            </w:r>
          </w:p>
        </w:tc>
      </w:tr>
      <w:tr w:rsidR="00BE2C03">
        <w:trPr>
          <w:cantSplit/>
          <w:trHeight w:val="375"/>
        </w:trPr>
        <w:tc>
          <w:tcPr>
            <w:tcW w:w="0" w:type="dxa"/>
            <w:vMerge/>
            <w:tcBorders>
              <w:top w:val="single" w:sz="4" w:space="0" w:color="auto"/>
              <w:left w:val="single" w:sz="4" w:space="0" w:color="auto"/>
              <w:bottom w:val="single" w:sz="4" w:space="0" w:color="auto"/>
              <w:right w:val="single" w:sz="4" w:space="0" w:color="auto"/>
            </w:tcBorders>
            <w:vAlign w:val="center"/>
          </w:tcPr>
          <w:p w:rsidR="00BE2C03" w:rsidRDefault="00BE2C03">
            <w:pPr>
              <w:widowControl/>
              <w:snapToGrid w:val="0"/>
              <w:jc w:val="center"/>
              <w:rPr>
                <w:rFonts w:ascii="宋体" w:hAnsi="宋体"/>
                <w:color w:val="000000"/>
                <w:kern w:val="0"/>
                <w:sz w:val="25"/>
                <w:szCs w:val="24"/>
              </w:rPr>
            </w:pPr>
          </w:p>
        </w:tc>
        <w:tc>
          <w:tcPr>
            <w:tcW w:w="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Y＜7天</w:t>
            </w:r>
          </w:p>
        </w:tc>
        <w:tc>
          <w:tcPr>
            <w:tcW w:w="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1.50%</w:t>
            </w:r>
          </w:p>
        </w:tc>
      </w:tr>
      <w:tr w:rsidR="00BE2C03">
        <w:trPr>
          <w:cantSplit/>
          <w:trHeight w:val="375"/>
        </w:trPr>
        <w:tc>
          <w:tcPr>
            <w:tcW w:w="0" w:type="dxa"/>
            <w:vMerge/>
            <w:tcBorders>
              <w:top w:val="single" w:sz="4" w:space="0" w:color="auto"/>
              <w:left w:val="single" w:sz="4" w:space="0" w:color="auto"/>
              <w:bottom w:val="single" w:sz="4" w:space="0" w:color="auto"/>
              <w:right w:val="single" w:sz="4" w:space="0" w:color="auto"/>
            </w:tcBorders>
            <w:vAlign w:val="center"/>
          </w:tcPr>
          <w:p w:rsidR="00BE2C03" w:rsidRDefault="00BE2C03">
            <w:pPr>
              <w:widowControl/>
              <w:snapToGrid w:val="0"/>
              <w:jc w:val="center"/>
              <w:rPr>
                <w:rFonts w:ascii="宋体" w:hAnsi="宋体"/>
                <w:color w:val="000000"/>
                <w:kern w:val="0"/>
                <w:sz w:val="25"/>
                <w:szCs w:val="24"/>
              </w:rPr>
            </w:pPr>
          </w:p>
        </w:tc>
        <w:tc>
          <w:tcPr>
            <w:tcW w:w="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7天≤Y＜30天</w:t>
            </w:r>
          </w:p>
        </w:tc>
        <w:tc>
          <w:tcPr>
            <w:tcW w:w="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0.75%</w:t>
            </w:r>
          </w:p>
        </w:tc>
      </w:tr>
      <w:tr w:rsidR="00BE2C03">
        <w:trPr>
          <w:cantSplit/>
          <w:trHeight w:val="375"/>
        </w:trPr>
        <w:tc>
          <w:tcPr>
            <w:tcW w:w="0" w:type="dxa"/>
            <w:vMerge/>
            <w:tcBorders>
              <w:top w:val="single" w:sz="4" w:space="0" w:color="auto"/>
              <w:left w:val="single" w:sz="4" w:space="0" w:color="auto"/>
              <w:bottom w:val="single" w:sz="4" w:space="0" w:color="auto"/>
              <w:right w:val="single" w:sz="4" w:space="0" w:color="auto"/>
            </w:tcBorders>
            <w:vAlign w:val="center"/>
          </w:tcPr>
          <w:p w:rsidR="00BE2C03" w:rsidRDefault="00BE2C03">
            <w:pPr>
              <w:widowControl/>
              <w:snapToGrid w:val="0"/>
              <w:jc w:val="center"/>
              <w:rPr>
                <w:rFonts w:ascii="宋体" w:hAnsi="宋体"/>
                <w:color w:val="000000"/>
                <w:kern w:val="0"/>
                <w:sz w:val="25"/>
                <w:szCs w:val="24"/>
              </w:rPr>
            </w:pPr>
          </w:p>
        </w:tc>
        <w:tc>
          <w:tcPr>
            <w:tcW w:w="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30天≤Y＜365天</w:t>
            </w:r>
          </w:p>
        </w:tc>
        <w:tc>
          <w:tcPr>
            <w:tcW w:w="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0.50%</w:t>
            </w:r>
          </w:p>
        </w:tc>
      </w:tr>
      <w:tr w:rsidR="00BE2C03">
        <w:trPr>
          <w:cantSplit/>
          <w:trHeight w:val="375"/>
        </w:trPr>
        <w:tc>
          <w:tcPr>
            <w:tcW w:w="0" w:type="dxa"/>
            <w:vMerge/>
            <w:tcBorders>
              <w:top w:val="single" w:sz="4" w:space="0" w:color="auto"/>
              <w:left w:val="single" w:sz="4" w:space="0" w:color="auto"/>
              <w:bottom w:val="single" w:sz="4" w:space="0" w:color="auto"/>
              <w:right w:val="single" w:sz="4" w:space="0" w:color="auto"/>
            </w:tcBorders>
            <w:vAlign w:val="center"/>
          </w:tcPr>
          <w:p w:rsidR="00BE2C03" w:rsidRDefault="00BE2C03">
            <w:pPr>
              <w:widowControl/>
              <w:snapToGrid w:val="0"/>
              <w:jc w:val="center"/>
              <w:rPr>
                <w:rFonts w:ascii="宋体" w:hAnsi="宋体"/>
                <w:color w:val="000000"/>
                <w:kern w:val="0"/>
                <w:sz w:val="25"/>
                <w:szCs w:val="24"/>
              </w:rPr>
            </w:pPr>
          </w:p>
        </w:tc>
        <w:tc>
          <w:tcPr>
            <w:tcW w:w="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365天≤Y＜730天</w:t>
            </w:r>
          </w:p>
        </w:tc>
        <w:tc>
          <w:tcPr>
            <w:tcW w:w="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0.25%</w:t>
            </w:r>
          </w:p>
        </w:tc>
      </w:tr>
      <w:tr w:rsidR="00BE2C03">
        <w:trPr>
          <w:cantSplit/>
          <w:trHeight w:val="375"/>
        </w:trPr>
        <w:tc>
          <w:tcPr>
            <w:tcW w:w="0" w:type="dxa"/>
            <w:vMerge/>
            <w:tcBorders>
              <w:top w:val="single" w:sz="4" w:space="0" w:color="auto"/>
              <w:left w:val="single" w:sz="4" w:space="0" w:color="auto"/>
              <w:bottom w:val="single" w:sz="4" w:space="0" w:color="auto"/>
              <w:right w:val="single" w:sz="4" w:space="0" w:color="auto"/>
            </w:tcBorders>
            <w:vAlign w:val="center"/>
          </w:tcPr>
          <w:p w:rsidR="00BE2C03" w:rsidRDefault="00BE2C03">
            <w:pPr>
              <w:widowControl/>
              <w:snapToGrid w:val="0"/>
              <w:jc w:val="center"/>
              <w:rPr>
                <w:rFonts w:ascii="宋体" w:hAnsi="宋体"/>
                <w:color w:val="000000"/>
                <w:kern w:val="0"/>
                <w:sz w:val="25"/>
                <w:szCs w:val="24"/>
              </w:rPr>
            </w:pPr>
          </w:p>
        </w:tc>
        <w:tc>
          <w:tcPr>
            <w:tcW w:w="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Y≥730天</w:t>
            </w:r>
          </w:p>
        </w:tc>
        <w:tc>
          <w:tcPr>
            <w:tcW w:w="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0</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基金份额的申购费在投资人申购基金份额时收取。申购费用由申购本基金基金份额的投资人承担，主要用于本基金的市场推广、销售、登记等各项费用，不列入基金财产。投资人在一天之内如果有多笔申购，适用的申购费率按单笔分别计算。</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本基金的赎回费用由赎回基金份额的基金份额持有人承担，赎回费用在基金份额持有人赎回本基金基金份额时收取。赎回费未归入基金财产的部分用于支付登记费和其他必要的手续费。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可以在基金合同约定范围内调整申购费率、赎回费率或收费方式。费率或收费方式如发生变更，基金管理人最迟应于新的费率或收费方式实施日前按照《信息披露办法》等相关法律法规的有关规定在规定媒介上刊登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可以在不违反法律法规规定及基金合同约定的情形下根据市场情况制定基金促销计划，针对投资人定期或不定期地开展基金促销活动。在基金促销活动期间，按相关监管部门要求履行必要手续后，基金管理人可以适当调低基金申购费率和基金赎回费率，并另行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（八）申购份额与赎回金额的计算方式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1.申购和赎回数额、余额的处理方式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的有效份额为按实际确认的申购金额在扣除相应的费用后，以当日基金份额净值为基准计算，申购份额计算结果保留到小数点后2位，小数点后两位以后的部分舍去，舍去部分所代表的资产归基金财产所有。</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（2）赎回金额为按实际确认的有效赎回份额乘以当日基金份额净值并扣除相应的费用后的余额，赎回金额计算结果保留到小数点后2位，小数点后两位以后的部分舍去，舍去部分所代表的资产归基金财产所有。</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2.申购份额的计算：</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基金的申购金额包括申购费用和净申购金额，其中：</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净申购金额=申购金额/（1＋申购费率）</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（注：对于适用固定金额申购费的申购，净申购金额=申购金额-固定申购费金额）</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申购费用=申购金额-净申购金额</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（注：对于适用固定金额申购费的申购，申购费用=固定申购费金额）</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申购份额=净申购金额/T日基金份额净值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例2：某客户投资1,000,000.00元申购本基金基金份额，其对应的申购费率为1.00%，假设申购当日本基金基金份额净值为1.0600元，则其可得到的申购份额为：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净申购金额=1,000,000.00/（1＋1.00%）= 990,099.01元</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申购费用=1,000,000.00－990,099.01= 9,900.99元</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申购份额=990,099.01/1.0600= 934,055.66分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即：某客户投资1,000,000.00元申购本基金基金份额，假设申购当日本基金基金份额净值为1.0600元，则该投资人可得到934,055.66份基金份额。</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3.赎回金额的计算：</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赎回金额的计算方法如下：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赎回总金额=赎回份额×T日基金份额净值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赎回费用=赎回总金额×赎回费率</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净赎回金额=赎回总金额-赎回费用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例3：某投资人赎回持有的1,000,000份基金份额，持有期限为360天，其对应的赎回费率为0.50%，假设赎回当日基金份额净值为1.1480元，则其可得到的净赎回金额为：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赎回总金额=1,000,000×1.1480=1,148,000.00元</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赎回费用=1,148,000.00×0.50%=5740.00元</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净赎回金额=1,148,000.00-5740.00=1,142,260.00元</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即：某持有本基金360天的投资人赎回持有的1,000,000份基金份额，假设赎回当日基金份额净值为1.1480元，则该投资人可得到的净赎回金额为1,142,260.00元。</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4.基金份额净值的计算</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本基金的基金份额净值计算公式如下：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T日基金份额净值＝T日闭市后基金资产净值/T日基金份额总数</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基金份额净值的计算，保留到小数点后4位，小数点后第5位四舍五入，由此产生的收益或损失由基金财产承担。基金申购、赎回开放日（T日）的基金份额净值在当天收市后计算，并在T+1日内公告。遇特殊情况，经中国证监会同意，可以适当延迟计算或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5、当发生大额申购或赎回情形时，基金管理人可以采用摆动定价机制，以确保基金估值的公平性。具体处理原则与操作规范遵循相关法律法规及监管部门、自律组织的规定。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（九）基金份额的登记</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投资人申购基金成功后，登记机构在T+1日为投资人登记权益并办理登记手续，投资人自T+2日（含该日）后有权赎回该部分基金份额。</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投资人赎回基金成功后，登记机构在T+1日为投资人办理扣除权益的登记手续。</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基金管理人可以在法律法规允许的范围内，对上述登记办理时间进行调整，但不得实质影响投资人的合法权益，并依照《信息披露办法》的有关规定在规定媒介公告。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（十）拒绝或暂停申购的情形及处理方式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发生下列情况时，基金管理人可拒绝或暂停接受投资人的申购申请：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1、因不可抗力导致基金无法正常运作。</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采取暂停接受基金申购申请的措施。</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3、因证券/期货交易所或银行间债券交易市场依法决定临时停市或交易时间非正常停市或港股通临时暂停，导致基金管理人无法计算当日基金资产净值或无法办理基金的申购业务时。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4、基金管理人接受某笔或某些申购申请会损害现有基金份额持有人利益时。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5、基金资产规模过大，使基金管理人无法找到合适的投资品种，或出现其他可能对基金业绩产生负面影响，或发生其他损害现有基金份额持有人利益的情形。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6、基金管理人、基金托管人、基金销售机构或登记机构的技术故障或其他异常情况导致基金销售系统、基金登记系统或基金会计系统无法正常运行。</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接受某笔或者某些申购申请有可能导致单一投资人（基金管理人、基金管理人高级管理人员或基金经理作为发起资金提供方除外）持有基金份额的比例达到或者超过50%，或者变相规避50%集中度的情形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8、申请超过基金管理人设定的基金单日净申购比例上限、单一投资人单日或单笔申购金额上限的。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9、在港股通交易当日额度不足时，基金管理人有权根据情况决定拒绝或暂停申购。</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10、法律法规规定或中国证监会认定的其他情形。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第1、2、3、5、6、9、10项暂停申购情形之一且基金管理人决定暂停接受投资人的申购申请时，基金管理人应当根据有关规定在规定媒介上刊登暂停申购公告。如果投资人的申购申请被全部或部分拒绝的，被拒绝的申购款项本金将全额退还给投资人，基金管理人及基金托管人不承担该退回款项产生的利息等损失。在暂停申购的情况消除时，基金管理人应及时恢复申购业务的办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（十一）暂停赎回或延缓支付赎回款项的情形及处理方式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发生下列情形时，基金管理人可暂停接受投资人的赎回申请或延缓支付赎回款项：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1、因不可抗力导致基金管理人不能支付赎回款项。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采取延缓支付赎回款项或暂停接受基金赎回申请的措施。</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3、因证券/期货交易所或银行间债券交易市场依法决定临时停市或交易时间非正常停市或港股通临时暂停，导致基金管理人无法计算当日基金资产净值或无法办理基金的赎回业务时。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4、连续两个或两个以上开放日发生巨额赎回。</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5、发生继续接受赎回申请将损害现有基金份额持有人利益的情形时，基金管理人可暂停接受投资人的赎回申请。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6、法律法规规定或中国证监会认定的其他情形。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情形之一且基金管理人决定暂停接受投资人的赎回申请或延缓支付赎回款项时，基金管理人应及时报中国证监会备案，已确认的赎回申请，基金管理人应足额支付；如暂时不能足额支付，应将可支付部分按单个账户申请量占申请总量的比例分配给赎回申请人，未支付部分可延缓支付。若出现上述第4项所述情形，按基金合同的相关条款处理。基金份额持有人在申请赎回时可事先选择将当日可能未获受理部分予以撤销。如暂停本基金基金份额的赎回，基金管理人应及时在规定媒介上刊登暂停赎回公告。在暂停赎回的情况消除时，基金管理人应及时恢复赎回业务的办理并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（十二）巨额赎回的情形及处理方式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1、巨额赎回的认定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2、巨额赎回的处理方式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当基金出现巨额赎回时，基金管理人可以根据基金当时的资产组合状况决定全额赎回或部分延期赎回。</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已被接受的赎回申请量占已被接受的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当出现巨额赎回时，基金转换中转出份额的申请的处理方式遵照相关的业务规则及相关公告。部分延期赎回不受单笔赎回最低份额的限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本基金出现巨额赎回且单个基金份额持有人的赎回申请超过上一开放日基金总份额的20%时，基金管理人认为支付该基金份额持有人的全部赎回申请有困难或认为因支付该基金份额持有人的全部赎回申请而进行的财产变现可能会对基金资产净值造成较大波动时，对于该基金份额持有人当日提出的赎回申请中超过上一开放日基金总份额20%的部分（不含20%），基金管理人可以延期办理。对于未能赎回部分，单个基金份额持有人在提交赎回申请时可以选择延期赎回或取消赎回。选择延期赎回的，将自动转入下一个开放日继续赎回，延期的赎回申请与下一开放日赎回申请一并处理，无优先权并以下一开放日的基金份额净值为基础计算赎回金额，以此类推，直到全部赎回为止；选择取消赎回的，当日未获受理的部分赎回申请将被撤销。如该单个基金份额持有人在提交赎回申请时未作明确选择，该单个基金份额持有人未能赎回部分作自动延期赎回处理。部分延期赎回不受单笔赎回最低份额的限制。当出现巨额赎回时，基金转换中转出份额的申请的处理方式遵照相关的业务规则及相关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该基金份额持有人当日提出的赎回申请中未超过上一开放日基金总份额20%的部分（含20%），基金管理人可以采取全额赎回或部分延期赎回的方式，与其他基金份额持有人的赎回申请一并办理，并且对于该基金份额持有人和其他基金份额持有人的赎回申请采取相同的处理方式。对于前述未能赎回部分，基金份额持有人在提交赎回申请时可以选择延期赎回或取消赎回。选择延期赎回的，将自动转入下一个开放日继续赎回，延期的赎回申请与下一开放日赎回申请一并处理，无优先权并以下一开放日的基金份额净值为基础计算赎回金额，以此类推，直到全部赎回为止；选择取消赎回的，当日未获受理的部分赎回申请将被撤销。如该单个基金份额持有人在提交赎回申请时未作明确选择，该单个基金份额持有人未能赎回部分作自动延期赎回处理。部分延期赎回不受单笔赎回最低份额的限制。基金转换中转出份额的申请的处理方式遵照相关的业务规则及相关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暂停赎回：连续2个开放日以上（含本数）发生巨额赎回，如基金管理人认为有必要，可暂停接受基金的赎回申请；已经接受的赎回申请可以延缓支付赎回款项，但不得超过20个工作日，并应当在规定媒介上进行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3、巨额赎回的公告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当发生上述巨额赎回并采取相关措施时，基金管理人在《信息披露办法》规定的时限要求内在规定媒介上刊登公告说明有关处理方法。</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（十三）暂停申购或赎回的公告和重新开放申购或赎回的公告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1、发生上述暂停申购或赎回情况的，基金管理人应按照《信息披露办法》的有关规定在规定媒介上刊登暂停公告。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2、上述暂停申购或赎回情况消除的，基金管理人应于重新开放日公布最近1个开放日的基金份额净值。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以根据暂停申购或赎回的时间，最迟于重新开放日在规定媒介上刊登重新开放申购或赎回的公告；也可以根据实际情况在暂停申购或赎回公告中明确重新开放申购或赎回的时间，届时不再另行发布重新开放的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（十四）基金转换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自2019年3月4日起开始办理转换业务。基金管理人可以根据相关法律法规的规定以及基金合同的约定开办本基金与基金管理人管理的且已开通基金转换业务的其他基金之间的转换业务，基金转换可以收取一定的转换费，相关规则由基金管理人届时根据相关法律法规的规定及基金合同的约定制定并公告，并提前告知基金托管人与相关机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（十五）基金份额的转让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（十六）基金的非交易过户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或者是按照相关法律法规或国家有权机关要求的划转主体。</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或者以其他方式处分。办理非交易过户必须提供基金登记机构要求提供的相关资料，对于符合条件的非交易过户申请按基金登记机构的规定办理，并按基金登记机构规定的标准收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(十七)基金的转托管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基金份额持有人可办理已持有基金份额在不同销售机构之间的转托管，基金销售机构可以按照规定的标准收取转托管费。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（十八）定期定额投资计划</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自2019年3月4日起开始办理定期定额投资业务。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（十九）基金份额的冻结和解冻</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登记机构只受理国家有权机关依法要求的基金份额的冻结与解冻，以及登记机构认可、符合法律法规的其他情况下的冻结与解冻。基金份额被冻结的，被冻结部分产生的权益按照我国法律法规、监管规章以及国家有权机关的要求来决定是否冻结。在国家有权机关作出决定之前，被冻结的基金份额产生的权益（权益为现金红利部分，自动转为基金份额）先行一并冻结。被冻结基金份额仍然参与收益分配。法律法规另有规定的除外。</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（二十）实施侧袋机制期间本基金的申购与赎回</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本基金实施侧袋机制的，本基金的申购和赎回安排详见招募说明书“侧袋机制”部分的规定或相关公告。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十一）在不违反相关法律法规和基金合同约定且对基金份额持有人利益无实质不利影响的前提下，基金管理人可以与基金托管人协商一致并在履行相关程序后，根据具体情况对上述申购和赎回的安排进行补充和调整，或者办理基金份额质押等相关业务，届时须报中国证监会备案并提前公告。</w:t>
      </w:r>
    </w:p>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12" w:name="_Toc139637441"/>
      <w:r>
        <w:rPr>
          <w:rFonts w:ascii="宋体" w:hAnsi="宋体"/>
          <w:sz w:val="30"/>
        </w:rPr>
        <w:t>九、基金的投资</w:t>
      </w:r>
      <w:bookmarkEnd w:id="12"/>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（一）投资目标</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通过把握股票市场、债券市场、银行间市场的收益率变化，在控制风险的前提下为投资人获取稳健回报。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（二）投资范围</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包括国内依法发行或上市的股票（包括中小板股票、创业板股票、存托凭证及其他经中国证监会核准上市的股票）、港股通标的股票、债券（包括国债、金融债券、企业债券、公司债券、央行票据、中期票据、短期融资券、超短期融资券、次级债券、地方政府债券、可转换公司债券及分离交易可转债、可交换债券以及其他中国证监会允许投资的债券）、资产支持证券、债券回购、银行存款（包括协议存款、定期存款及其他银行存款）、现金、权证、股指期货以及法律法规或中国证监会允许基金投资的其他金融工具（但须符合中国证监会的相关规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如法律法规或监管机构以后允许基金投资其他品种，基金管理人在履行适当程序后，可以将其纳入本基金的投资范围，其投资比例遵循届时有效的法律法规和相关规定。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组合比例为：股票资产占基金资产的比例为50%—95%（其中投资于港股通标的股票的比例占股票资产的0%-50%）。其余资产投资于债券、资产支持证券、债券回购、银行存款（包括协议存款、定期存款及其他银行存款）、现金、权证、股指期货等金融工具；权证投资不得超过基金资产净值的3%；每个交易日日终在扣除股指期货合约需缴纳的交易保证金后，现金或者到期日在一年以内的政府债券不低于基金资产净值的5%，其中，现金不包括结算备付金、存出保证金、应收申购款等。本基金将港股通标的股票投资的比例下限设为零，本基金可根据投资策略需要或不同配置地市场环境的变化，选择将部分基金资产投资于港股通标的股票或选择不将基金资产投资于港股通标的股票，基金资产并非必然投资港股通标的股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如果法律法规或中国证监会变更投资品种的投资比例限制，基金管理人在履行适当程序后，可以调整上述投资品种的投资比例。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（三）投资策略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1、大类资产配置策略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主要采用自上而下分析的方法进行大类资产配置，确定股票、债券、金融衍生品、现金的投资比例；根据国家政治经济政策精神，确定可投资的行业范围。本基金为混合型基金，长期来看将以权益性资产为主要配置，同时结合资金面情况、市场情绪面因素，适当进行短期的战术避险选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2、A股股票投资策略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采用“自上而下”选择细分行业及“自下而上”的方式挑选公司。在选择细分行业的时候，我们遵循国家政治经济政策精神，选择国家明确支持的细分行业。在这些细分行业中，我们针对每一个公司从定性和定量两个角度对公司进行研究，从定性的角度分析公司的管理层经营能力、治理结构、经营机制、销售模式等方面是否符合要求；从定量的角度分析公司的成长性、财务状况和估值水平等指标是否达到标准。综合来看，具有良好公司治理结构和优秀管理团队，并且在财务质量和价值方面达到要求的公司进入本基金的基础股票组合。</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（1）公司治理结构和管理层能力评估</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将通过与目标公司管理层进行深入调研，综合考评公司的治理结构、管理层工作能力等，甄选拥有优秀管理层的上市公司。其中，公司治理结构评价包括股东会、董事会和监事会的完整性以及独立运作；管理层工作能力评价包括考察开拓精神、战略思维、执行力、投资项目选择成功率及以往的经营业绩等。</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（2）财务质量评估</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本基金管理人主要根据相关财务指标对上市公司的财务质量进行考察，重点关注上市公司的毛利率、费用率、净资产收益率、应收账款、商誉、递延所得税资产和经营性现金流等反应真实盈利情况的财务指标。</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（3）上市公司价值评估</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本基金管理人通过分析目标公司的盈利驱动来源，评估目标公司的主营业务收入和净利润，选择公司增长率和估值相匹配的公司进行投资。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对于存托凭证投资，本基金将在深入研究的基础上，通过定性分析和定量分析相结合的方式，精选出具有比较优势的存托凭证。</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3、港股通标的股票投资策略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将坚持自上而下的行业配置与自下而上的个股精选相结合的策略，积极优选相对于A股具有明显估值优势且质地优良的港股通标的股票。本基金将仅通过内地与香港股票市场交易互联互通机制投资于香港股票市场，不使用合格境内机构投资者（QDII）境外投资额度进行境外投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在行业配置层面，考虑行业的产业政策、生命周期、供需缺口、投资周期、库存周期、估值水平以及股票市场行业轮动规律。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个股选择层面，本基金主要采取业绩增速和估值相匹配的选股策略对港股通标的股票进行选择，以行业研究员的基本分析为基础，采取数量化的系统选股方法，精选业绩增速快，估值相对被低估的港股通标的投资品种。重点关注以下港股通标的股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（1）对于A、H两地同时上市的公司，股价相对于A股明显折价的港股通标的股票；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（2）对于非A、H两地同时上市的公司，本基金从行业的角度来比较公司的估值，在同一行业内精选出相对于A股具有明显估值优势的港股通标的股票，具体而言，从下面两个维度来进行个股选择：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大、中盘价值股，选择相对于A股同一行业的公司具有明显估值折价的港股通标的股票，主要考察市盈率（P/E）、市净率（P/B）、企业价值倍数（EV/EBITDA）、市销率（P/S）、每用户平均收入（ARPU）、股息率（DY）等估值指标；</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对于中、小盘成长股，主要考察成长倍数（PEG）等指标，选择相对于A股同一行业的公司具有明显估值折价的港股通标的股票；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于仅在香港市场上市，而在A股属于稀缺行业的个股，本基金将选择经营指标优于全市场平均水平且估值处于合理区间的港股通标的股票，主要考察指标包括资本回报率（ROIC）、毛利率、主营业务经营利润率等。</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4、债券投资策略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资本市场日益国际化的背景下，通过研判债券市场风险收益特征的国际化趋势和国内宏观经济景气周期引发的债券收益率的变化趋势，采取自上而下的策略构造组合。债券类品种的投资，追求在严格控制风险的基础上获取稳健回报的原则。</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（1）本基金采用目标久期管理法作为本基金债券类证券投资的核心策略。通过宏观经济分析平台把握市场利率水平的运行态势，作为组合久期选择的主要依据。</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（2）结合收益率曲线变化的预测，采取期限结构配置策略，通过分析和情景测试，确定长、中、短期债券的投资比例。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（3）收益率利差策略是债券资产在类属间的主要配置策略。本基金在充分考虑不同类型债券流动性、税收以及信用风险等因素基础上，进行类属的配置，优化组合收益。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运用上述策略方法基础上，通过分析个券的剩余期限与收益率的配比状况、信用等级状况、流动性指标等因素，选择风险收益配比最合理的个券作为投资对象，并形成组合。本基金还将采取积极主动的策略，针对市场定价错误和回购套利机会等，在确定存在超额收益的情况下，积极把握市场机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（5）根据基金申购、赎回等情况，对投资组合进行流动性管理，确保基金资产的变现能力。</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5、资产支持证券投资策略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通过考量宏观经济形势、提前偿还率、违约率、资产池结构以及资产池资产所在行业景气情况等因素，预判资产池未来现金流变动；研究标的证券发行条款，预测提前偿还率变化对标的证券平均久期及收益率曲线的影响，同时密切关注流动性变化对标的证券收益率的影响，在严格控制信用风险暴露程度的前提下，通过信用研究和流动性管理，选择风险调整后收益较高的品种进行投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6、可交换债券投资策略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可交换债券与可转换债券的区别在于换股期间用于交换的股票并非自身新发的股票，而是发行人持有的其他上市公司的股票。可交换债券同样具有债券属性和权益属性，其中债券属性与可转换债券相同，即选择持有可交换债券至到期以获取票面价值和票面利息；而对于权益属性的分析则需关注目标公司的股票价值以及发行人作为股东的换股意愿等。本基金将通过对目标公司股票的投资价值、可交换债券的债券价值、以及条款带来的期权价值等综合分析，进行投资决策。</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7、股指期货投资策略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本基金根据风险管理原则，以套期保值为目的，在股指期货的投资中主要遵循避险和有效管理两项策略和原则：</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（1）避险。主要用于市场风险大幅累积时的避险操作，减小基金投资组合因市场下跌而遭受的市场风险。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（2）有效管理。利用股指期货流动性好、交易成本低等特点，通过股指期货对投资组合的仓位进行及时调整，提高投资组合的运作效率。</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8、权证投资策略.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权证为本基金的辅助性投资工具。在进行权证投资时，基金管理人将通过对权证标的证券基本面的研究，并结合权证定价模型寻求其合理估值水平，根据权证的高杠杆性、有限损失性和灵活性等特点，通过价值挖掘、获利保护、成本保护、趋势投资、限量投资、优化组合等策略进行权证投资。基金管理人将充分考虑权证资产的收益性、流动性及风险特征，通过资产配置、品种与类属选择，谨慎进行投资，追求较稳定的当期收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（四）业绩比较基准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本基金的业绩比较基准为：中证800指数收益率×30%+恒生指数收益率（使用估值汇率调整）×30%+中证全债指数收益率×40%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证800指数是由中证500和沪深300成份股一起构成，其综合反映了沪深证券市场内大中小市值公司的整体状况，是目前中国证券市场中市值覆盖率高、代表性强、流动性好，同时公信力较好的股票指数，适合作为本基金内地股票投资部分的业绩比较基准。恒生指数是香港股市价格的重要指标，指数由若干只成份股（即蓝筹股）市值计算出来，代表了香港交易所所有上市公司70%的市值，是反映香港股市价幅趋势最有影响的一种股价指数，适合作为本基金港股投资部分的业绩比较基准。中证全债指数综合反映了沪深证券交易所和银行间债券市场价格的变动趋势，为债券投资者提供了投资的分析工具和业绩评价基准。中证全债指数的成份券包括：银行间国债、金融债、企业债及公司债，沪市国债、企业债及公司债，深市国债、企业债和公司债，并满足固定利率、剩余期限一年以上，信用级别投资级及以上等条件，是目前市场上较为权威的反映债券市场整体走势的基准指数之一，适合作为本基金债券部分的业绩比较基准。总之，基于本基金的投资范围和投资比例限制，选用上述业绩比较基准能够较好的反映本基金的风险收益特征。</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今后法律法规发生变化，或者上述业绩比较基准停止发布或变更名称，或者有更权威的、更能为市场普遍接受的业绩比较基准推出，或者是市场上出现更加适合用于本基金的业绩比较基准，经基金管理人和基金托管人协商一致并按照监管部门要求履行相关程序后，本基金可以在报中国证监会备案后变更业绩比较基准并及时公告，且无需召开基金份额持有人大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（五）风险收益特征</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本基金为混合型基金，其预期风险、预期收益高于货币市场基金和债券型基金。</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投资香港联合交易所上市的股票，将面临港股通机制下因投资环境、投资标的、市场制度以及交易规则等差异带来的特有风险。本基金可根据投资策略需要或不同配置地市场环境的变化，选择将部分基金资产投资于港股或选择不将基金资产投资于港股，基金资产并非必然投资港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（六）投资限制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1、组合限制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基金的投资组合应遵循以下限制：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（1）股票资产占基金资产的比例为50%—95%（其中投资于港股通标的股票的比例占股票资产的0%-50%）；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（2）本基金每个交易日日终在扣除股指期货合约需缴纳的交易保证金后，保持不低于基金资产净值5%的现金或到期日在一年以内的政府债券，其中，现金不包括结算备付金、存出保证金、应收申购款等；</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（3）本基金持有一家公司发行的证券（同一家公司在内地和香港同时上市的A+H股合计计算），其市值不超过基金资产净值的10%；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（4）本基金管理人管理的全部基金持有一家公司发行的证券（同一家公司在内地和香港同时上市的A+H股合计计算），不超过该证券的10%；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（6）本基金持有的全部权证，其市值不得超过基金资产净值的3%；</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（7）本基金管理人管理的全部基金持有的同一权证，不得超过该权证的10%；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（8）本基金在任何交易日买入权证的总金额，不得超过上一交易日基金资产净值的0.5%；</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（9）本基金的基金资产总值不得超过基金资产净值的140%；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（10）本基金投资于同一原始权益人的各类资产支持证券的比例，不得超过基金资产净值的10%；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（11）本基金持有的全部资产支持证券，其市值不得超过基金资产净值的20%；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（12）本基金持有的同一（指同一信用级别）资产支持证券的比例，不得超过该资产支持证券规模的10%；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（13）本基金管理人管理的全部基金投资于同一原始权益人的各类资产支持证券，不得超过其各类资产支持证券合计规模的10%；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本基金主动投资于流动性受限资产的市值合计不得超过基金资产净值的15%；因证券市场波动、上市公司股票停牌、基金规模变动等基金管理人之外的因素致使基金不符合前述所规定比例限制的，基金管理人不得主动新增流动性受限资产的投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（15）本基金应投资于信用级别评级为BBB以上(含BBB)的资产支持证券。基金持有资产支持证券期间，如果其信用等级下降、不再符合投资标准，应在评级报告发布之日起3个月内予以全部卖出；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（16）本基金与私募类证券资管产品及中国证监会认定的其他主体为交易对手开展逆回购交易的，可接受质押品的资质要求应当与基金合同约定的投资范围保持一致；</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（17）基金财产参与股票发行申购，本基金所申报的金额不超过本基金的总资产，本基金所申报的股票数量不超过拟发行股票公司本次发行股票的总量；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（18）本基金进入全国银行间同业市场进行债券回购的资金余额不得超过基金资产净值的40%；本基金在全国银行间同业市场中的债券回购最长期限为1年，债券回购到期后不得展期；</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（19）本基金参与股指期货交易，则需遵守下列投资比例限制：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1）本基金在任何交易日日终，持有的买入股指期货合约价值，不得超过基金资产净值的10%；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在任何交易日日终，持有的买入股指期货合约价值与有价证券市值之和，不得超过基金资产净值的95%；其中，有价证券指股票、债券（不含到期日在一年以内的政府债券）、权证、资产支持证券、买入返售金融资产（不含质押式回购）等；</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3）本基金在任何交易日日终，持有的卖出股指期货合约价值不得超过基金持有的股票总市值的20%；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4）本基金所持有的股票市值和买入、卖出股指期货合约价值，合计（轧差计算）应当符合《基金合同》关于股票投资比例的有关约定；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5）本基金在任何交易日内交易（不包括平仓）的股指期货合约的成交金额不得超过上一交易日基金资产净值的20%；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（20）本基金投资存托凭证的比例限制依照境内上市交易的股票执行，与境内上市交易的股票合并计算；</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（21）法律法规及中国证监会规定的和《基金合同》约定的其他投资限制。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2）、（14）、（15）、（16）项外，因证券市场及期货市场波动、证券发行人合并、基金规模变动或港股通额度已满等基金管理人之外的因素致使基金投资比例不符合上述规定投资比例的，基金管理人应当在10个交易日内进行调整，但中国证监会规定的特殊情形除外。因港股通额度已满等基金管理人之外的因素致使不能在10个交易日内完成调整的，基金管理人应当在合理时间内进行调整。法律法规另有规定的，从其规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本基金投资流通受限证券，基金管理人应根据中国证监会相关规定进行投资。基金管理人应制订严格的投资决策流程和风险控制制度，防范流动性风险、法律风险和操作风险等各种风险。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对上述投资组合比例限制进行变更的，本基金在履行适当程序后，可相应调整投资比例限制规定。法律法规或监管部门取消上述限制，如适用于本基金，本基金在履行适当程序后，则本基金投资不再受相关限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2、禁止行为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为维护基金份额持有人的合法权益，基金财产不得用于下列投资或者活动：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（1）承销证券；</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（2）违反规定向他人贷款或者提供担保；</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（3）从事承担无限责任的投资；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（4）买卖其他基金份额，但是法律法规或中国证监会另有规定的除外；</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（5）向其基金管理人、基金托管人出资；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（6）从事内幕交易、操纵证券交易价格及其他不正当的证券交易活动；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（7）法律、行政法规和中国证监会规定禁止的其他活动。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运用基金财产买卖基金管理人、基金托管人及其控股股东、实际控制人或者与其有其他重大利害关系的公司发行的证券或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法律、行政法规或监管部门取消或变更上述限制，如适用于本基金，则本基金投资不再受相关限制或以变更后的规定为准。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（七）基金管理人代表基金行使相关权利的处理原则及方法</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1、有利于基金资产的安全与增值；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2、基金管理人按照国家有关规定代表基金独立行使相关权利，保护基金份额持有人的利益；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3、不谋求对上市公司的控股；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4、不通过关联交易为自身、雇员、授权代理人或任何存在利害关系的第三人牟取任何不当利益。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（八）侧袋机制的实施和投资运作安排</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侧袋机制实施期间，本部分约定的投资组合比例、投资策略、组合限制、业绩比较基准、风险收益特征等约定仅适用于主袋账户。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侧袋账户的实施条件、实施程序、运作安排、投资安排、特定资产的处置变现和支付等对投资者权益有重大影响的事项详见招募说明书“侧袋机制”部分的规定。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b/>
          <w:kern w:val="0"/>
          <w:sz w:val="24"/>
        </w:rPr>
        <w:t>（九）投资组合报告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基金管理人银华基金管理股份有限公司的董事会及董事保证本报告所载资料不存在虚假记载、误导性陈述或重大遗漏，并对其内容的真实性、准确性和完整性承担个别及连带责任。</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基金托管人中国农业银行股份有限公司根据本基金合同规定复核了本报告中的财务指标、净值表现和投资组合报告等内容，保证复核内容不存在虚假记载、误导性陈述或者重大遗漏。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本投资组合报告所载数据截至2023年03月31日（财务数据未经审计）。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1、报告期末基金资产组合情况</w:t>
      </w:r>
    </w:p>
    <w:tbl>
      <w:tblPr>
        <w:tblW w:w="5000" w:type="pct"/>
        <w:tblLayout w:type="fixed"/>
        <w:tblCellMar>
          <w:left w:w="0" w:type="dxa"/>
          <w:right w:w="0" w:type="dxa"/>
        </w:tblCellMar>
        <w:tblLook w:val="0000" w:firstRow="0" w:lastRow="0" w:firstColumn="0" w:lastColumn="0" w:noHBand="0" w:noVBand="0"/>
      </w:tblPr>
      <w:tblGrid>
        <w:gridCol w:w="859"/>
        <w:gridCol w:w="3319"/>
        <w:gridCol w:w="2260"/>
        <w:gridCol w:w="2232"/>
      </w:tblGrid>
      <w:tr w:rsidR="00BE2C03">
        <w:trPr>
          <w:cantSplit/>
          <w:trHeight w:val="375"/>
        </w:trPr>
        <w:tc>
          <w:tcPr>
            <w:tcW w:w="20" w:type="dxa"/>
            <w:tcBorders>
              <w:top w:val="single" w:sz="4" w:space="0" w:color="auto"/>
              <w:left w:val="single" w:sz="4" w:space="0" w:color="auto"/>
              <w:bottom w:val="single" w:sz="4" w:space="0" w:color="auto"/>
              <w:right w:val="single" w:sz="4" w:space="0" w:color="auto"/>
            </w:tcBorders>
            <w:shd w:val="clear" w:color="auto" w:fill="D9D9D9"/>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序号</w:t>
            </w:r>
          </w:p>
        </w:tc>
        <w:tc>
          <w:tcPr>
            <w:tcW w:w="116" w:type="dxa"/>
            <w:tcBorders>
              <w:top w:val="single" w:sz="4" w:space="0" w:color="auto"/>
              <w:left w:val="single" w:sz="4" w:space="0" w:color="auto"/>
              <w:bottom w:val="single" w:sz="4" w:space="0" w:color="auto"/>
              <w:right w:val="single" w:sz="4" w:space="0" w:color="auto"/>
            </w:tcBorders>
            <w:shd w:val="clear" w:color="auto" w:fill="D9D9D9"/>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项目</w:t>
            </w:r>
          </w:p>
        </w:tc>
        <w:tc>
          <w:tcPr>
            <w:tcW w:w="79" w:type="dxa"/>
            <w:tcBorders>
              <w:top w:val="single" w:sz="4" w:space="0" w:color="auto"/>
              <w:left w:val="single" w:sz="4" w:space="0" w:color="auto"/>
              <w:bottom w:val="single" w:sz="4" w:space="0" w:color="auto"/>
              <w:right w:val="single" w:sz="4" w:space="0" w:color="auto"/>
            </w:tcBorders>
            <w:shd w:val="clear" w:color="auto" w:fill="D9D9D9"/>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金额（元）</w:t>
            </w:r>
          </w:p>
        </w:tc>
        <w:tc>
          <w:tcPr>
            <w:tcW w:w="78" w:type="dxa"/>
            <w:tcBorders>
              <w:top w:val="single" w:sz="4" w:space="0" w:color="auto"/>
              <w:left w:val="single" w:sz="4" w:space="0" w:color="auto"/>
              <w:bottom w:val="single" w:sz="4" w:space="0" w:color="auto"/>
              <w:right w:val="single" w:sz="4" w:space="0" w:color="auto"/>
            </w:tcBorders>
            <w:shd w:val="clear" w:color="auto" w:fill="D9D9D9"/>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占基金总资产的比例（%）</w:t>
            </w:r>
          </w:p>
        </w:tc>
      </w:tr>
      <w:tr w:rsidR="00BE2C03">
        <w:trPr>
          <w:cantSplit/>
          <w:trHeight w:val="375"/>
        </w:trPr>
        <w:tc>
          <w:tcPr>
            <w:tcW w:w="2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1</w:t>
            </w:r>
          </w:p>
        </w:tc>
        <w:tc>
          <w:tcPr>
            <w:tcW w:w="11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权益投资</w:t>
            </w:r>
          </w:p>
        </w:tc>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61,692,400.39</w:t>
            </w:r>
          </w:p>
        </w:tc>
        <w:tc>
          <w:tcPr>
            <w:tcW w:w="7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63.86</w:t>
            </w:r>
          </w:p>
        </w:tc>
      </w:tr>
      <w:tr w:rsidR="00BE2C03">
        <w:trPr>
          <w:cantSplit/>
          <w:trHeight w:val="375"/>
        </w:trPr>
        <w:tc>
          <w:tcPr>
            <w:tcW w:w="20" w:type="dxa"/>
            <w:tcBorders>
              <w:top w:val="single" w:sz="4" w:space="0" w:color="auto"/>
              <w:left w:val="single" w:sz="4" w:space="0" w:color="auto"/>
              <w:bottom w:val="single" w:sz="4" w:space="0" w:color="auto"/>
              <w:right w:val="single" w:sz="4" w:space="0" w:color="auto"/>
            </w:tcBorders>
            <w:vAlign w:val="center"/>
          </w:tcPr>
          <w:p w:rsidR="00BE2C03" w:rsidRDefault="00BE2C03">
            <w:pPr>
              <w:widowControl/>
              <w:snapToGrid w:val="0"/>
              <w:jc w:val="left"/>
              <w:rPr>
                <w:rFonts w:ascii="宋体" w:hAnsi="宋体"/>
                <w:color w:val="000000"/>
                <w:kern w:val="0"/>
                <w:sz w:val="25"/>
                <w:szCs w:val="24"/>
              </w:rPr>
            </w:pPr>
          </w:p>
        </w:tc>
        <w:tc>
          <w:tcPr>
            <w:tcW w:w="11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其中：股票</w:t>
            </w:r>
          </w:p>
        </w:tc>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61,692,400.39</w:t>
            </w:r>
          </w:p>
        </w:tc>
        <w:tc>
          <w:tcPr>
            <w:tcW w:w="7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63.86</w:t>
            </w:r>
          </w:p>
        </w:tc>
      </w:tr>
      <w:tr w:rsidR="00BE2C03">
        <w:trPr>
          <w:cantSplit/>
          <w:trHeight w:val="375"/>
        </w:trPr>
        <w:tc>
          <w:tcPr>
            <w:tcW w:w="2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2</w:t>
            </w:r>
          </w:p>
        </w:tc>
        <w:tc>
          <w:tcPr>
            <w:tcW w:w="11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基金投资</w:t>
            </w:r>
          </w:p>
        </w:tc>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7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3</w:t>
            </w:r>
          </w:p>
        </w:tc>
        <w:tc>
          <w:tcPr>
            <w:tcW w:w="11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固定收益投资</w:t>
            </w:r>
          </w:p>
        </w:tc>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7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0" w:type="dxa"/>
            <w:tcBorders>
              <w:top w:val="single" w:sz="4" w:space="0" w:color="auto"/>
              <w:left w:val="single" w:sz="4" w:space="0" w:color="auto"/>
              <w:bottom w:val="single" w:sz="4" w:space="0" w:color="auto"/>
              <w:right w:val="single" w:sz="4" w:space="0" w:color="auto"/>
            </w:tcBorders>
            <w:vAlign w:val="center"/>
          </w:tcPr>
          <w:p w:rsidR="00BE2C03" w:rsidRDefault="00BE2C03">
            <w:pPr>
              <w:widowControl/>
              <w:snapToGrid w:val="0"/>
              <w:jc w:val="left"/>
              <w:rPr>
                <w:rFonts w:ascii="宋体" w:hAnsi="宋体"/>
                <w:color w:val="000000"/>
                <w:kern w:val="0"/>
                <w:sz w:val="25"/>
                <w:szCs w:val="24"/>
              </w:rPr>
            </w:pPr>
          </w:p>
        </w:tc>
        <w:tc>
          <w:tcPr>
            <w:tcW w:w="11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其中：债券</w:t>
            </w:r>
          </w:p>
        </w:tc>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7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0" w:type="dxa"/>
            <w:tcBorders>
              <w:top w:val="single" w:sz="4" w:space="0" w:color="auto"/>
              <w:left w:val="single" w:sz="4" w:space="0" w:color="auto"/>
              <w:bottom w:val="single" w:sz="4" w:space="0" w:color="auto"/>
              <w:right w:val="single" w:sz="4" w:space="0" w:color="auto"/>
            </w:tcBorders>
            <w:vAlign w:val="center"/>
          </w:tcPr>
          <w:p w:rsidR="00BE2C03" w:rsidRDefault="00BE2C03">
            <w:pPr>
              <w:widowControl/>
              <w:snapToGrid w:val="0"/>
              <w:jc w:val="left"/>
              <w:rPr>
                <w:rFonts w:ascii="宋体" w:hAnsi="宋体"/>
                <w:color w:val="000000"/>
                <w:kern w:val="0"/>
                <w:sz w:val="25"/>
                <w:szCs w:val="24"/>
              </w:rPr>
            </w:pPr>
          </w:p>
        </w:tc>
        <w:tc>
          <w:tcPr>
            <w:tcW w:w="11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资产支持证券</w:t>
            </w:r>
          </w:p>
        </w:tc>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7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4</w:t>
            </w:r>
          </w:p>
        </w:tc>
        <w:tc>
          <w:tcPr>
            <w:tcW w:w="11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贵金属投资</w:t>
            </w:r>
          </w:p>
        </w:tc>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7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5</w:t>
            </w:r>
          </w:p>
        </w:tc>
        <w:tc>
          <w:tcPr>
            <w:tcW w:w="11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金融衍生品投资</w:t>
            </w:r>
          </w:p>
        </w:tc>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7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6</w:t>
            </w:r>
          </w:p>
        </w:tc>
        <w:tc>
          <w:tcPr>
            <w:tcW w:w="11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买入返售金融资产</w:t>
            </w:r>
          </w:p>
        </w:tc>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7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0" w:type="dxa"/>
            <w:tcBorders>
              <w:top w:val="single" w:sz="4" w:space="0" w:color="auto"/>
              <w:left w:val="single" w:sz="4" w:space="0" w:color="auto"/>
              <w:bottom w:val="single" w:sz="4" w:space="0" w:color="auto"/>
              <w:right w:val="single" w:sz="4" w:space="0" w:color="auto"/>
            </w:tcBorders>
            <w:vAlign w:val="center"/>
          </w:tcPr>
          <w:p w:rsidR="00BE2C03" w:rsidRDefault="00BE2C03">
            <w:pPr>
              <w:widowControl/>
              <w:snapToGrid w:val="0"/>
              <w:jc w:val="left"/>
              <w:rPr>
                <w:rFonts w:ascii="宋体" w:hAnsi="宋体"/>
                <w:color w:val="000000"/>
                <w:kern w:val="0"/>
                <w:sz w:val="25"/>
                <w:szCs w:val="24"/>
              </w:rPr>
            </w:pPr>
          </w:p>
        </w:tc>
        <w:tc>
          <w:tcPr>
            <w:tcW w:w="11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其中：买断式回购的买入返售金融资产</w:t>
            </w:r>
          </w:p>
        </w:tc>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7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7</w:t>
            </w:r>
          </w:p>
        </w:tc>
        <w:tc>
          <w:tcPr>
            <w:tcW w:w="11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银行存款和结算备付金合计</w:t>
            </w:r>
          </w:p>
        </w:tc>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34,891,283.46</w:t>
            </w:r>
          </w:p>
        </w:tc>
        <w:tc>
          <w:tcPr>
            <w:tcW w:w="7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36.12</w:t>
            </w:r>
          </w:p>
        </w:tc>
      </w:tr>
      <w:tr w:rsidR="00BE2C03">
        <w:trPr>
          <w:cantSplit/>
          <w:trHeight w:val="375"/>
        </w:trPr>
        <w:tc>
          <w:tcPr>
            <w:tcW w:w="2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8</w:t>
            </w:r>
          </w:p>
        </w:tc>
        <w:tc>
          <w:tcPr>
            <w:tcW w:w="11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其他资产</w:t>
            </w:r>
          </w:p>
        </w:tc>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21,581.62</w:t>
            </w:r>
          </w:p>
        </w:tc>
        <w:tc>
          <w:tcPr>
            <w:tcW w:w="7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0.02</w:t>
            </w:r>
          </w:p>
        </w:tc>
      </w:tr>
      <w:tr w:rsidR="00BE2C03">
        <w:trPr>
          <w:cantSplit/>
          <w:trHeight w:val="375"/>
        </w:trPr>
        <w:tc>
          <w:tcPr>
            <w:tcW w:w="2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9</w:t>
            </w:r>
          </w:p>
        </w:tc>
        <w:tc>
          <w:tcPr>
            <w:tcW w:w="11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合计</w:t>
            </w:r>
          </w:p>
        </w:tc>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96,605,265.47</w:t>
            </w:r>
          </w:p>
        </w:tc>
        <w:tc>
          <w:tcPr>
            <w:tcW w:w="7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100.00</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注：本基金本报告期末通过港股通交易机制投资的港股公允价值为人民币9,517,317.45元，占期末净值比例为9.88%。</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2、报告期末按行业分类的股票投资组合</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 报告期末按行业分类的境内股票投资组合</w:t>
      </w:r>
    </w:p>
    <w:tbl>
      <w:tblPr>
        <w:tblW w:w="5000" w:type="pct"/>
        <w:tblLayout w:type="fixed"/>
        <w:tblCellMar>
          <w:left w:w="0" w:type="dxa"/>
          <w:right w:w="0" w:type="dxa"/>
        </w:tblCellMar>
        <w:tblLook w:val="0000" w:firstRow="0" w:lastRow="0" w:firstColumn="0" w:lastColumn="0" w:noHBand="0" w:noVBand="0"/>
      </w:tblPr>
      <w:tblGrid>
        <w:gridCol w:w="869"/>
        <w:gridCol w:w="2958"/>
        <w:gridCol w:w="3074"/>
        <w:gridCol w:w="1769"/>
      </w:tblGrid>
      <w:tr w:rsidR="00BE2C03">
        <w:trPr>
          <w:cantSplit/>
          <w:trHeight w:val="375"/>
        </w:trPr>
        <w:tc>
          <w:tcPr>
            <w:tcW w:w="25" w:type="dxa"/>
            <w:tcBorders>
              <w:top w:val="single" w:sz="4" w:space="0" w:color="auto"/>
              <w:left w:val="single" w:sz="4" w:space="0" w:color="auto"/>
              <w:bottom w:val="single" w:sz="4" w:space="0" w:color="auto"/>
              <w:right w:val="single" w:sz="4" w:space="0" w:color="auto"/>
            </w:tcBorders>
            <w:shd w:val="clear" w:color="auto" w:fill="D9D9D9"/>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代码</w:t>
            </w:r>
          </w:p>
        </w:tc>
        <w:tc>
          <w:tcPr>
            <w:tcW w:w="102" w:type="dxa"/>
            <w:tcBorders>
              <w:top w:val="single" w:sz="4" w:space="0" w:color="auto"/>
              <w:left w:val="single" w:sz="4" w:space="0" w:color="auto"/>
              <w:bottom w:val="single" w:sz="4" w:space="0" w:color="auto"/>
              <w:right w:val="single" w:sz="4" w:space="0" w:color="auto"/>
            </w:tcBorders>
            <w:shd w:val="clear" w:color="auto" w:fill="D9D9D9"/>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行业类别</w:t>
            </w:r>
          </w:p>
        </w:tc>
        <w:tc>
          <w:tcPr>
            <w:tcW w:w="106" w:type="dxa"/>
            <w:tcBorders>
              <w:top w:val="single" w:sz="4" w:space="0" w:color="auto"/>
              <w:left w:val="single" w:sz="4" w:space="0" w:color="auto"/>
              <w:bottom w:val="single" w:sz="4" w:space="0" w:color="auto"/>
              <w:right w:val="single" w:sz="4" w:space="0" w:color="auto"/>
            </w:tcBorders>
            <w:shd w:val="clear" w:color="auto" w:fill="D9D9D9"/>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公允价值（元）</w:t>
            </w:r>
          </w:p>
        </w:tc>
        <w:tc>
          <w:tcPr>
            <w:tcW w:w="61" w:type="dxa"/>
            <w:tcBorders>
              <w:top w:val="single" w:sz="4" w:space="0" w:color="auto"/>
              <w:left w:val="single" w:sz="4" w:space="0" w:color="auto"/>
              <w:bottom w:val="single" w:sz="4" w:space="0" w:color="auto"/>
              <w:right w:val="single" w:sz="4" w:space="0" w:color="auto"/>
            </w:tcBorders>
            <w:shd w:val="clear" w:color="auto" w:fill="D9D9D9"/>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占基金资产净值比例（%）</w:t>
            </w:r>
          </w:p>
        </w:tc>
      </w:tr>
      <w:tr w:rsidR="00BE2C03">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A</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农、林、牧、渔业</w:t>
            </w:r>
          </w:p>
        </w:tc>
        <w:tc>
          <w:tcPr>
            <w:tcW w:w="10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B</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采矿业</w:t>
            </w:r>
          </w:p>
        </w:tc>
        <w:tc>
          <w:tcPr>
            <w:tcW w:w="10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8,108,421.00</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8.42</w:t>
            </w:r>
          </w:p>
        </w:tc>
      </w:tr>
      <w:tr w:rsidR="00BE2C03">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C</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制造业</w:t>
            </w:r>
          </w:p>
        </w:tc>
        <w:tc>
          <w:tcPr>
            <w:tcW w:w="10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36,733,278.34</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38.14</w:t>
            </w:r>
          </w:p>
        </w:tc>
      </w:tr>
      <w:tr w:rsidR="00BE2C03">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D</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电力、热力、燃气及水生产和供应业</w:t>
            </w:r>
          </w:p>
        </w:tc>
        <w:tc>
          <w:tcPr>
            <w:tcW w:w="10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E</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建筑业</w:t>
            </w:r>
          </w:p>
        </w:tc>
        <w:tc>
          <w:tcPr>
            <w:tcW w:w="10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F</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批发和零售业</w:t>
            </w:r>
          </w:p>
        </w:tc>
        <w:tc>
          <w:tcPr>
            <w:tcW w:w="10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G</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交通运输、仓储和邮政业</w:t>
            </w:r>
          </w:p>
        </w:tc>
        <w:tc>
          <w:tcPr>
            <w:tcW w:w="10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H</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住宿和餐饮业</w:t>
            </w:r>
          </w:p>
        </w:tc>
        <w:tc>
          <w:tcPr>
            <w:tcW w:w="10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I</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信息传输、软件和信息技术服务业</w:t>
            </w:r>
          </w:p>
        </w:tc>
        <w:tc>
          <w:tcPr>
            <w:tcW w:w="10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J</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金融业</w:t>
            </w:r>
          </w:p>
        </w:tc>
        <w:tc>
          <w:tcPr>
            <w:tcW w:w="10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7,333,383.60</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7.61</w:t>
            </w:r>
          </w:p>
        </w:tc>
      </w:tr>
      <w:tr w:rsidR="00BE2C03">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K</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房地产业</w:t>
            </w:r>
          </w:p>
        </w:tc>
        <w:tc>
          <w:tcPr>
            <w:tcW w:w="10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L</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租赁和商务服务业</w:t>
            </w:r>
          </w:p>
        </w:tc>
        <w:tc>
          <w:tcPr>
            <w:tcW w:w="10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M</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科学研究和技术服务业</w:t>
            </w:r>
          </w:p>
        </w:tc>
        <w:tc>
          <w:tcPr>
            <w:tcW w:w="10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N</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水利、环境和公共设施管理业</w:t>
            </w:r>
          </w:p>
        </w:tc>
        <w:tc>
          <w:tcPr>
            <w:tcW w:w="10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O</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居民服务、修理和其他服务业</w:t>
            </w:r>
          </w:p>
        </w:tc>
        <w:tc>
          <w:tcPr>
            <w:tcW w:w="10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P</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教育</w:t>
            </w:r>
          </w:p>
        </w:tc>
        <w:tc>
          <w:tcPr>
            <w:tcW w:w="10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Q</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卫生和社会工作</w:t>
            </w:r>
          </w:p>
        </w:tc>
        <w:tc>
          <w:tcPr>
            <w:tcW w:w="10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R</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文化、体育和娱乐业</w:t>
            </w:r>
          </w:p>
        </w:tc>
        <w:tc>
          <w:tcPr>
            <w:tcW w:w="10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S</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综合</w:t>
            </w:r>
          </w:p>
        </w:tc>
        <w:tc>
          <w:tcPr>
            <w:tcW w:w="10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BE2C03" w:rsidRDefault="00BE2C03">
            <w:pPr>
              <w:widowControl/>
              <w:snapToGrid w:val="0"/>
              <w:jc w:val="left"/>
              <w:rPr>
                <w:rFonts w:ascii="宋体" w:hAnsi="宋体"/>
                <w:color w:val="000000"/>
                <w:kern w:val="0"/>
                <w:sz w:val="25"/>
                <w:szCs w:val="24"/>
              </w:rPr>
            </w:pP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合计</w:t>
            </w:r>
          </w:p>
        </w:tc>
        <w:tc>
          <w:tcPr>
            <w:tcW w:w="10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52,175,082.94</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54.17</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 报告期末按行业分类的港股通投资股票投资组合</w:t>
      </w:r>
    </w:p>
    <w:tbl>
      <w:tblPr>
        <w:tblW w:w="5000" w:type="pct"/>
        <w:tblLayout w:type="fixed"/>
        <w:tblCellMar>
          <w:left w:w="0" w:type="dxa"/>
          <w:right w:w="0" w:type="dxa"/>
        </w:tblCellMar>
        <w:tblLook w:val="0000" w:firstRow="0" w:lastRow="0" w:firstColumn="0" w:lastColumn="0" w:noHBand="0" w:noVBand="0"/>
      </w:tblPr>
      <w:tblGrid>
        <w:gridCol w:w="2330"/>
        <w:gridCol w:w="3450"/>
        <w:gridCol w:w="2890"/>
      </w:tblGrid>
      <w:tr w:rsidR="00BE2C03">
        <w:trPr>
          <w:cantSplit/>
          <w:trHeight w:val="375"/>
        </w:trPr>
        <w:tc>
          <w:tcPr>
            <w:tcW w:w="79" w:type="dxa"/>
            <w:tcBorders>
              <w:top w:val="single" w:sz="4" w:space="0" w:color="auto"/>
              <w:left w:val="single" w:sz="4" w:space="0" w:color="auto"/>
              <w:bottom w:val="single" w:sz="4" w:space="0" w:color="auto"/>
              <w:right w:val="single" w:sz="4" w:space="0" w:color="auto"/>
            </w:tcBorders>
            <w:shd w:val="clear" w:color="auto" w:fill="D9D9D9"/>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行业类别</w:t>
            </w:r>
          </w:p>
        </w:tc>
        <w:tc>
          <w:tcPr>
            <w:tcW w:w="117" w:type="dxa"/>
            <w:tcBorders>
              <w:top w:val="single" w:sz="4" w:space="0" w:color="auto"/>
              <w:left w:val="single" w:sz="4" w:space="0" w:color="auto"/>
              <w:bottom w:val="single" w:sz="4" w:space="0" w:color="auto"/>
              <w:right w:val="single" w:sz="4" w:space="0" w:color="auto"/>
            </w:tcBorders>
            <w:shd w:val="clear" w:color="auto" w:fill="D9D9D9"/>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公允价值（人民币）</w:t>
            </w:r>
          </w:p>
        </w:tc>
        <w:tc>
          <w:tcPr>
            <w:tcW w:w="98" w:type="dxa"/>
            <w:tcBorders>
              <w:top w:val="single" w:sz="4" w:space="0" w:color="auto"/>
              <w:left w:val="single" w:sz="4" w:space="0" w:color="auto"/>
              <w:bottom w:val="single" w:sz="4" w:space="0" w:color="auto"/>
              <w:right w:val="single" w:sz="4" w:space="0" w:color="auto"/>
            </w:tcBorders>
            <w:shd w:val="clear" w:color="auto" w:fill="D9D9D9"/>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占基金资产净值比例（%）</w:t>
            </w:r>
          </w:p>
        </w:tc>
      </w:tr>
      <w:tr w:rsidR="00BE2C03">
        <w:trPr>
          <w:cantSplit/>
          <w:trHeight w:val="375"/>
        </w:trPr>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基础材料</w:t>
            </w:r>
          </w:p>
        </w:tc>
        <w:tc>
          <w:tcPr>
            <w:tcW w:w="11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9,517,317.45</w:t>
            </w:r>
          </w:p>
        </w:tc>
        <w:tc>
          <w:tcPr>
            <w:tcW w:w="9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9.88</w:t>
            </w:r>
          </w:p>
        </w:tc>
      </w:tr>
      <w:tr w:rsidR="00BE2C03">
        <w:trPr>
          <w:cantSplit/>
          <w:trHeight w:val="375"/>
        </w:trPr>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消费者非必需品</w:t>
            </w:r>
          </w:p>
        </w:tc>
        <w:tc>
          <w:tcPr>
            <w:tcW w:w="11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9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消费者常用品</w:t>
            </w:r>
          </w:p>
        </w:tc>
        <w:tc>
          <w:tcPr>
            <w:tcW w:w="11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9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能源</w:t>
            </w:r>
          </w:p>
        </w:tc>
        <w:tc>
          <w:tcPr>
            <w:tcW w:w="11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9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金融</w:t>
            </w:r>
          </w:p>
        </w:tc>
        <w:tc>
          <w:tcPr>
            <w:tcW w:w="11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9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医疗保健</w:t>
            </w:r>
          </w:p>
        </w:tc>
        <w:tc>
          <w:tcPr>
            <w:tcW w:w="11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9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工业</w:t>
            </w:r>
          </w:p>
        </w:tc>
        <w:tc>
          <w:tcPr>
            <w:tcW w:w="11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9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信息技术</w:t>
            </w:r>
          </w:p>
        </w:tc>
        <w:tc>
          <w:tcPr>
            <w:tcW w:w="11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9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电信服务</w:t>
            </w:r>
          </w:p>
        </w:tc>
        <w:tc>
          <w:tcPr>
            <w:tcW w:w="11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9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公用事业</w:t>
            </w:r>
          </w:p>
        </w:tc>
        <w:tc>
          <w:tcPr>
            <w:tcW w:w="11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9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地产建筑业</w:t>
            </w:r>
          </w:p>
        </w:tc>
        <w:tc>
          <w:tcPr>
            <w:tcW w:w="11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9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合计</w:t>
            </w:r>
          </w:p>
        </w:tc>
        <w:tc>
          <w:tcPr>
            <w:tcW w:w="11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9,517,317.45</w:t>
            </w:r>
          </w:p>
        </w:tc>
        <w:tc>
          <w:tcPr>
            <w:tcW w:w="9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9.88</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3、期末按公允价值占基金资产净值比例大小排序的股票投资明细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 报告期末按公允价值占基金资产净值比例大小排序的前十名股票投资明细</w:t>
      </w:r>
    </w:p>
    <w:tbl>
      <w:tblPr>
        <w:tblW w:w="5000" w:type="pct"/>
        <w:tblLayout w:type="fixed"/>
        <w:tblCellMar>
          <w:left w:w="0" w:type="dxa"/>
          <w:right w:w="0" w:type="dxa"/>
        </w:tblCellMar>
        <w:tblLook w:val="0000" w:firstRow="0" w:lastRow="0" w:firstColumn="0" w:lastColumn="0" w:noHBand="0" w:noVBand="0"/>
      </w:tblPr>
      <w:tblGrid>
        <w:gridCol w:w="872"/>
        <w:gridCol w:w="989"/>
        <w:gridCol w:w="1484"/>
        <w:gridCol w:w="1135"/>
        <w:gridCol w:w="1775"/>
        <w:gridCol w:w="2415"/>
      </w:tblGrid>
      <w:tr w:rsidR="00BE2C03">
        <w:trPr>
          <w:cantSplit/>
          <w:trHeight w:val="375"/>
        </w:trPr>
        <w:tc>
          <w:tcPr>
            <w:tcW w:w="26" w:type="dxa"/>
            <w:tcBorders>
              <w:top w:val="single" w:sz="4" w:space="0" w:color="auto"/>
              <w:left w:val="single" w:sz="4" w:space="0" w:color="auto"/>
              <w:bottom w:val="single" w:sz="4" w:space="0" w:color="auto"/>
              <w:right w:val="single" w:sz="4" w:space="0" w:color="auto"/>
            </w:tcBorders>
            <w:shd w:val="clear" w:color="auto" w:fill="D9D9D9"/>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序号</w:t>
            </w:r>
          </w:p>
        </w:tc>
        <w:tc>
          <w:tcPr>
            <w:tcW w:w="34" w:type="dxa"/>
            <w:tcBorders>
              <w:top w:val="single" w:sz="4" w:space="0" w:color="auto"/>
              <w:left w:val="single" w:sz="4" w:space="0" w:color="auto"/>
              <w:bottom w:val="single" w:sz="4" w:space="0" w:color="auto"/>
              <w:right w:val="single" w:sz="4" w:space="0" w:color="auto"/>
            </w:tcBorders>
            <w:shd w:val="clear" w:color="auto" w:fill="D9D9D9"/>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股票代码</w:t>
            </w:r>
          </w:p>
        </w:tc>
        <w:tc>
          <w:tcPr>
            <w:tcW w:w="51" w:type="dxa"/>
            <w:tcBorders>
              <w:top w:val="single" w:sz="4" w:space="0" w:color="auto"/>
              <w:left w:val="single" w:sz="4" w:space="0" w:color="auto"/>
              <w:bottom w:val="single" w:sz="4" w:space="0" w:color="auto"/>
              <w:right w:val="single" w:sz="4" w:space="0" w:color="auto"/>
            </w:tcBorders>
            <w:shd w:val="clear" w:color="auto" w:fill="D9D9D9"/>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股票名称</w:t>
            </w:r>
          </w:p>
        </w:tc>
        <w:tc>
          <w:tcPr>
            <w:tcW w:w="39" w:type="dxa"/>
            <w:tcBorders>
              <w:top w:val="single" w:sz="4" w:space="0" w:color="auto"/>
              <w:left w:val="single" w:sz="4" w:space="0" w:color="auto"/>
              <w:bottom w:val="single" w:sz="4" w:space="0" w:color="auto"/>
              <w:right w:val="single" w:sz="4" w:space="0" w:color="auto"/>
            </w:tcBorders>
            <w:shd w:val="clear" w:color="auto" w:fill="D9D9D9"/>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数量（股）</w:t>
            </w:r>
          </w:p>
        </w:tc>
        <w:tc>
          <w:tcPr>
            <w:tcW w:w="61" w:type="dxa"/>
            <w:tcBorders>
              <w:top w:val="single" w:sz="4" w:space="0" w:color="auto"/>
              <w:left w:val="single" w:sz="4" w:space="0" w:color="auto"/>
              <w:bottom w:val="single" w:sz="4" w:space="0" w:color="auto"/>
              <w:right w:val="single" w:sz="4" w:space="0" w:color="auto"/>
            </w:tcBorders>
            <w:shd w:val="clear" w:color="auto" w:fill="D9D9D9"/>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公允价值（元）</w:t>
            </w:r>
          </w:p>
        </w:tc>
        <w:tc>
          <w:tcPr>
            <w:tcW w:w="83" w:type="dxa"/>
            <w:tcBorders>
              <w:top w:val="single" w:sz="4" w:space="0" w:color="auto"/>
              <w:left w:val="single" w:sz="4" w:space="0" w:color="auto"/>
              <w:bottom w:val="single" w:sz="4" w:space="0" w:color="auto"/>
              <w:right w:val="single" w:sz="4" w:space="0" w:color="auto"/>
            </w:tcBorders>
            <w:shd w:val="clear" w:color="auto" w:fill="D9D9D9"/>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占基金资产净值比例（%）</w:t>
            </w:r>
          </w:p>
        </w:tc>
      </w:tr>
      <w:tr w:rsidR="00BE2C03">
        <w:trPr>
          <w:cantSplit/>
          <w:trHeight w:val="375"/>
        </w:trPr>
        <w:tc>
          <w:tcPr>
            <w:tcW w:w="2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1</w:t>
            </w:r>
          </w:p>
        </w:tc>
        <w:tc>
          <w:tcPr>
            <w:tcW w:w="34"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600988</w:t>
            </w:r>
          </w:p>
        </w:tc>
        <w:tc>
          <w:tcPr>
            <w:tcW w:w="5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赤峰黄金</w:t>
            </w:r>
          </w:p>
        </w:tc>
        <w:tc>
          <w:tcPr>
            <w:tcW w:w="3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414,600</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7,524,990.00</w:t>
            </w:r>
          </w:p>
        </w:tc>
        <w:tc>
          <w:tcPr>
            <w:tcW w:w="83"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7.81</w:t>
            </w:r>
          </w:p>
        </w:tc>
      </w:tr>
      <w:tr w:rsidR="00BE2C03">
        <w:trPr>
          <w:cantSplit/>
          <w:trHeight w:val="375"/>
        </w:trPr>
        <w:tc>
          <w:tcPr>
            <w:tcW w:w="2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2</w:t>
            </w:r>
          </w:p>
        </w:tc>
        <w:tc>
          <w:tcPr>
            <w:tcW w:w="34"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300059</w:t>
            </w:r>
          </w:p>
        </w:tc>
        <w:tc>
          <w:tcPr>
            <w:tcW w:w="5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东方财富</w:t>
            </w:r>
          </w:p>
        </w:tc>
        <w:tc>
          <w:tcPr>
            <w:tcW w:w="3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366,120</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7,333,383.60</w:t>
            </w:r>
          </w:p>
        </w:tc>
        <w:tc>
          <w:tcPr>
            <w:tcW w:w="83"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7.61</w:t>
            </w:r>
          </w:p>
        </w:tc>
      </w:tr>
      <w:tr w:rsidR="00BE2C03">
        <w:trPr>
          <w:cantSplit/>
          <w:trHeight w:val="375"/>
        </w:trPr>
        <w:tc>
          <w:tcPr>
            <w:tcW w:w="2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3</w:t>
            </w:r>
          </w:p>
        </w:tc>
        <w:tc>
          <w:tcPr>
            <w:tcW w:w="34"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01818</w:t>
            </w:r>
          </w:p>
        </w:tc>
        <w:tc>
          <w:tcPr>
            <w:tcW w:w="5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招金矿业</w:t>
            </w:r>
          </w:p>
        </w:tc>
        <w:tc>
          <w:tcPr>
            <w:tcW w:w="3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643,000</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6,709,632.47</w:t>
            </w:r>
          </w:p>
        </w:tc>
        <w:tc>
          <w:tcPr>
            <w:tcW w:w="83"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6.97</w:t>
            </w:r>
          </w:p>
        </w:tc>
      </w:tr>
      <w:tr w:rsidR="00BE2C03">
        <w:trPr>
          <w:cantSplit/>
          <w:trHeight w:val="375"/>
        </w:trPr>
        <w:tc>
          <w:tcPr>
            <w:tcW w:w="2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4</w:t>
            </w:r>
          </w:p>
        </w:tc>
        <w:tc>
          <w:tcPr>
            <w:tcW w:w="34"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600166</w:t>
            </w:r>
          </w:p>
        </w:tc>
        <w:tc>
          <w:tcPr>
            <w:tcW w:w="5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福田汽车</w:t>
            </w:r>
          </w:p>
        </w:tc>
        <w:tc>
          <w:tcPr>
            <w:tcW w:w="3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1,610,500</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5,620,645.00</w:t>
            </w:r>
          </w:p>
        </w:tc>
        <w:tc>
          <w:tcPr>
            <w:tcW w:w="83"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5.84</w:t>
            </w:r>
          </w:p>
        </w:tc>
      </w:tr>
      <w:tr w:rsidR="00BE2C03">
        <w:trPr>
          <w:cantSplit/>
          <w:trHeight w:val="375"/>
        </w:trPr>
        <w:tc>
          <w:tcPr>
            <w:tcW w:w="2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5</w:t>
            </w:r>
          </w:p>
        </w:tc>
        <w:tc>
          <w:tcPr>
            <w:tcW w:w="34"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603501</w:t>
            </w:r>
          </w:p>
        </w:tc>
        <w:tc>
          <w:tcPr>
            <w:tcW w:w="5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韦尔股份</w:t>
            </w:r>
          </w:p>
        </w:tc>
        <w:tc>
          <w:tcPr>
            <w:tcW w:w="3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54,400</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4,955,840.00</w:t>
            </w:r>
          </w:p>
        </w:tc>
        <w:tc>
          <w:tcPr>
            <w:tcW w:w="83"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5.15</w:t>
            </w:r>
          </w:p>
        </w:tc>
      </w:tr>
      <w:tr w:rsidR="00BE2C03">
        <w:trPr>
          <w:cantSplit/>
          <w:trHeight w:val="375"/>
        </w:trPr>
        <w:tc>
          <w:tcPr>
            <w:tcW w:w="2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6</w:t>
            </w:r>
          </w:p>
        </w:tc>
        <w:tc>
          <w:tcPr>
            <w:tcW w:w="34"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002475</w:t>
            </w:r>
          </w:p>
        </w:tc>
        <w:tc>
          <w:tcPr>
            <w:tcW w:w="5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立讯精密</w:t>
            </w:r>
          </w:p>
        </w:tc>
        <w:tc>
          <w:tcPr>
            <w:tcW w:w="3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156,300</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4,737,453.00</w:t>
            </w:r>
          </w:p>
        </w:tc>
        <w:tc>
          <w:tcPr>
            <w:tcW w:w="83"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4.92</w:t>
            </w:r>
          </w:p>
        </w:tc>
      </w:tr>
      <w:tr w:rsidR="00BE2C03">
        <w:trPr>
          <w:cantSplit/>
          <w:trHeight w:val="375"/>
        </w:trPr>
        <w:tc>
          <w:tcPr>
            <w:tcW w:w="2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7</w:t>
            </w:r>
          </w:p>
        </w:tc>
        <w:tc>
          <w:tcPr>
            <w:tcW w:w="34"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600309</w:t>
            </w:r>
          </w:p>
        </w:tc>
        <w:tc>
          <w:tcPr>
            <w:tcW w:w="5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万华化学</w:t>
            </w:r>
          </w:p>
        </w:tc>
        <w:tc>
          <w:tcPr>
            <w:tcW w:w="3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38,700</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3,710,556.00</w:t>
            </w:r>
          </w:p>
        </w:tc>
        <w:tc>
          <w:tcPr>
            <w:tcW w:w="83"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3.85</w:t>
            </w:r>
          </w:p>
        </w:tc>
      </w:tr>
      <w:tr w:rsidR="00BE2C03">
        <w:trPr>
          <w:cantSplit/>
          <w:trHeight w:val="375"/>
        </w:trPr>
        <w:tc>
          <w:tcPr>
            <w:tcW w:w="2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8</w:t>
            </w:r>
          </w:p>
        </w:tc>
        <w:tc>
          <w:tcPr>
            <w:tcW w:w="34"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300037</w:t>
            </w:r>
          </w:p>
        </w:tc>
        <w:tc>
          <w:tcPr>
            <w:tcW w:w="5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新宙邦</w:t>
            </w:r>
          </w:p>
        </w:tc>
        <w:tc>
          <w:tcPr>
            <w:tcW w:w="3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58,900</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2,873,731.00</w:t>
            </w:r>
          </w:p>
        </w:tc>
        <w:tc>
          <w:tcPr>
            <w:tcW w:w="83"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2.98</w:t>
            </w:r>
          </w:p>
        </w:tc>
      </w:tr>
      <w:tr w:rsidR="00BE2C03">
        <w:trPr>
          <w:cantSplit/>
          <w:trHeight w:val="375"/>
        </w:trPr>
        <w:tc>
          <w:tcPr>
            <w:tcW w:w="2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9</w:t>
            </w:r>
          </w:p>
        </w:tc>
        <w:tc>
          <w:tcPr>
            <w:tcW w:w="34"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01378</w:t>
            </w:r>
          </w:p>
        </w:tc>
        <w:tc>
          <w:tcPr>
            <w:tcW w:w="5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中国宏桥</w:t>
            </w:r>
          </w:p>
        </w:tc>
        <w:tc>
          <w:tcPr>
            <w:tcW w:w="3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426,500</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2,807,684.98</w:t>
            </w:r>
          </w:p>
        </w:tc>
        <w:tc>
          <w:tcPr>
            <w:tcW w:w="83"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2.92</w:t>
            </w:r>
          </w:p>
        </w:tc>
      </w:tr>
      <w:tr w:rsidR="00BE2C03">
        <w:trPr>
          <w:cantSplit/>
          <w:trHeight w:val="375"/>
        </w:trPr>
        <w:tc>
          <w:tcPr>
            <w:tcW w:w="2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10</w:t>
            </w:r>
          </w:p>
        </w:tc>
        <w:tc>
          <w:tcPr>
            <w:tcW w:w="34"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603612</w:t>
            </w:r>
          </w:p>
        </w:tc>
        <w:tc>
          <w:tcPr>
            <w:tcW w:w="5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索通发展</w:t>
            </w:r>
          </w:p>
        </w:tc>
        <w:tc>
          <w:tcPr>
            <w:tcW w:w="3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99,100</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2,290,201.00</w:t>
            </w:r>
          </w:p>
        </w:tc>
        <w:tc>
          <w:tcPr>
            <w:tcW w:w="83"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2.38</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4、报告期末按债券品种分类的债券投资组合</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注：本基金本报告期末未持有债券。</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5、报告期末按公允价值占基金资产净值比例大小排序的前五名债券投资明细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注：本基金本报告期末未持有债券。</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6、报告期末按公允价值占基金资产净值比例大小排序的前十名资产支持证券投资明细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注：本基金本报告期末未持有资产支持证券。</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7、报告期末按公允价值占基金资产净值比例大小排序的前五名贵金属投资明细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注：本基金本报告期末未持有贵金属。</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8、报告期末按公允价值占基金资产净值比例大小排序的前五名权证投资明细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注：本基金本报告期末未持有权证。</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9、报告期末本基金投资的股指期货交易情况说明</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注：本基金本报告期末未持有股指期货。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10、报告期末本基金投资的国债期货交易情况说明</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注：本基金本报告期末未持有国债期货。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11、投资组合报告附注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11.1 本基金投资的前十名证券的发行主体本期是否出现被监管部门立案调查，或在报告编制日前一年内受到公开谴责、处罚的情形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本基金投资的前十名证券的发行主体本期不存在被监管部门立案调查，或在报告编制日前一年内受到公开谴责、处罚的情形。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11.2 基金投资的前十名股票是否超出基金合同规定的备选股票库</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本基金投资的前十名股票没有超出基金合同规定的备选股票库之外的情形。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11.3 其他资产构成</w:t>
      </w:r>
    </w:p>
    <w:tbl>
      <w:tblPr>
        <w:tblW w:w="5000" w:type="pct"/>
        <w:tblLayout w:type="fixed"/>
        <w:tblCellMar>
          <w:left w:w="0" w:type="dxa"/>
          <w:right w:w="0" w:type="dxa"/>
        </w:tblCellMar>
        <w:tblLook w:val="0000" w:firstRow="0" w:lastRow="0" w:firstColumn="0" w:lastColumn="0" w:noHBand="0" w:noVBand="0"/>
      </w:tblPr>
      <w:tblGrid>
        <w:gridCol w:w="884"/>
        <w:gridCol w:w="2212"/>
        <w:gridCol w:w="5574"/>
      </w:tblGrid>
      <w:tr w:rsidR="00BE2C03">
        <w:trPr>
          <w:cantSplit/>
          <w:trHeight w:val="375"/>
        </w:trPr>
        <w:tc>
          <w:tcPr>
            <w:tcW w:w="30" w:type="dxa"/>
            <w:tcBorders>
              <w:top w:val="single" w:sz="4" w:space="0" w:color="auto"/>
              <w:left w:val="single" w:sz="4" w:space="0" w:color="auto"/>
              <w:bottom w:val="single" w:sz="4" w:space="0" w:color="auto"/>
              <w:right w:val="single" w:sz="4" w:space="0" w:color="auto"/>
            </w:tcBorders>
            <w:shd w:val="clear" w:color="auto" w:fill="D9D9D9"/>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序号</w:t>
            </w:r>
          </w:p>
        </w:tc>
        <w:tc>
          <w:tcPr>
            <w:tcW w:w="75" w:type="dxa"/>
            <w:tcBorders>
              <w:top w:val="single" w:sz="4" w:space="0" w:color="auto"/>
              <w:left w:val="single" w:sz="4" w:space="0" w:color="auto"/>
              <w:bottom w:val="single" w:sz="4" w:space="0" w:color="auto"/>
              <w:right w:val="single" w:sz="4" w:space="0" w:color="auto"/>
            </w:tcBorders>
            <w:shd w:val="clear" w:color="auto" w:fill="D9D9D9"/>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名称</w:t>
            </w:r>
          </w:p>
        </w:tc>
        <w:tc>
          <w:tcPr>
            <w:tcW w:w="189" w:type="dxa"/>
            <w:tcBorders>
              <w:top w:val="single" w:sz="4" w:space="0" w:color="auto"/>
              <w:left w:val="single" w:sz="4" w:space="0" w:color="auto"/>
              <w:bottom w:val="single" w:sz="4" w:space="0" w:color="auto"/>
              <w:right w:val="single" w:sz="4" w:space="0" w:color="auto"/>
            </w:tcBorders>
            <w:shd w:val="clear" w:color="auto" w:fill="D9D9D9"/>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金额（元）</w:t>
            </w:r>
          </w:p>
        </w:tc>
      </w:tr>
      <w:tr w:rsidR="00BE2C03">
        <w:trPr>
          <w:cantSplit/>
          <w:trHeight w:val="375"/>
        </w:trPr>
        <w:tc>
          <w:tcPr>
            <w:tcW w:w="3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1</w:t>
            </w:r>
          </w:p>
        </w:tc>
        <w:tc>
          <w:tcPr>
            <w:tcW w:w="7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存出保证金</w:t>
            </w:r>
          </w:p>
        </w:tc>
        <w:tc>
          <w:tcPr>
            <w:tcW w:w="18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21,451.65</w:t>
            </w:r>
          </w:p>
        </w:tc>
      </w:tr>
      <w:tr w:rsidR="00BE2C03">
        <w:trPr>
          <w:cantSplit/>
          <w:trHeight w:val="375"/>
        </w:trPr>
        <w:tc>
          <w:tcPr>
            <w:tcW w:w="3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2</w:t>
            </w:r>
          </w:p>
        </w:tc>
        <w:tc>
          <w:tcPr>
            <w:tcW w:w="7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应收证券清算款</w:t>
            </w:r>
          </w:p>
        </w:tc>
        <w:tc>
          <w:tcPr>
            <w:tcW w:w="18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3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3</w:t>
            </w:r>
          </w:p>
        </w:tc>
        <w:tc>
          <w:tcPr>
            <w:tcW w:w="7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应收股利</w:t>
            </w:r>
          </w:p>
        </w:tc>
        <w:tc>
          <w:tcPr>
            <w:tcW w:w="18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3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4</w:t>
            </w:r>
          </w:p>
        </w:tc>
        <w:tc>
          <w:tcPr>
            <w:tcW w:w="7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应收利息</w:t>
            </w:r>
          </w:p>
        </w:tc>
        <w:tc>
          <w:tcPr>
            <w:tcW w:w="18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3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5</w:t>
            </w:r>
          </w:p>
        </w:tc>
        <w:tc>
          <w:tcPr>
            <w:tcW w:w="7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应收申购款</w:t>
            </w:r>
          </w:p>
        </w:tc>
        <w:tc>
          <w:tcPr>
            <w:tcW w:w="18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129.97</w:t>
            </w:r>
          </w:p>
        </w:tc>
      </w:tr>
      <w:tr w:rsidR="00BE2C03">
        <w:trPr>
          <w:cantSplit/>
          <w:trHeight w:val="375"/>
        </w:trPr>
        <w:tc>
          <w:tcPr>
            <w:tcW w:w="3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6</w:t>
            </w:r>
          </w:p>
        </w:tc>
        <w:tc>
          <w:tcPr>
            <w:tcW w:w="7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其他应收款</w:t>
            </w:r>
          </w:p>
        </w:tc>
        <w:tc>
          <w:tcPr>
            <w:tcW w:w="18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3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7</w:t>
            </w:r>
          </w:p>
        </w:tc>
        <w:tc>
          <w:tcPr>
            <w:tcW w:w="7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其他</w:t>
            </w:r>
          </w:p>
        </w:tc>
        <w:tc>
          <w:tcPr>
            <w:tcW w:w="18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3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8</w:t>
            </w:r>
          </w:p>
        </w:tc>
        <w:tc>
          <w:tcPr>
            <w:tcW w:w="7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合计</w:t>
            </w:r>
          </w:p>
        </w:tc>
        <w:tc>
          <w:tcPr>
            <w:tcW w:w="18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21,581.62</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11.4 报告期末持有的处于转股期的可转换债券明细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注：本基金本报告期末未持有可转换债券。</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11.5 报告期末前十名股票中存在流通受限情况的说明</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注：本基金本报告期末前十名股票中不存在流通受限的情况。</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11.6 投资组合报告附注的其他文字描述部分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由于四舍五入的原因，比例的分项之和与合计可能有尾差。</w:t>
      </w:r>
    </w:p>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13" w:name="_Toc139637442"/>
      <w:r>
        <w:rPr>
          <w:rFonts w:ascii="宋体" w:hAnsi="宋体"/>
          <w:sz w:val="30"/>
        </w:rPr>
        <w:t>十、基金的业绩</w:t>
      </w:r>
      <w:bookmarkEnd w:id="13"/>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本基金基金份额净值增长率与业绩比较基准收益率比较表：</w:t>
      </w:r>
    </w:p>
    <w:tbl>
      <w:tblPr>
        <w:tblW w:w="5000" w:type="pct"/>
        <w:tblLayout w:type="fixed"/>
        <w:tblCellMar>
          <w:left w:w="0" w:type="dxa"/>
          <w:right w:w="0" w:type="dxa"/>
        </w:tblCellMar>
        <w:tblLook w:val="0000" w:firstRow="0" w:lastRow="0" w:firstColumn="0" w:lastColumn="0" w:noHBand="0" w:noVBand="0"/>
      </w:tblPr>
      <w:tblGrid>
        <w:gridCol w:w="1734"/>
        <w:gridCol w:w="1194"/>
        <w:gridCol w:w="1194"/>
        <w:gridCol w:w="966"/>
        <w:gridCol w:w="1450"/>
        <w:gridCol w:w="1080"/>
        <w:gridCol w:w="1052"/>
      </w:tblGrid>
      <w:tr w:rsidR="00BE2C03">
        <w:trPr>
          <w:cantSplit/>
          <w:trHeight w:val="375"/>
        </w:trPr>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阶段</w:t>
            </w:r>
          </w:p>
        </w:tc>
        <w:tc>
          <w:tcPr>
            <w:tcW w:w="4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净值增长率①</w:t>
            </w:r>
          </w:p>
        </w:tc>
        <w:tc>
          <w:tcPr>
            <w:tcW w:w="4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净值增长率标准差②</w:t>
            </w:r>
          </w:p>
        </w:tc>
        <w:tc>
          <w:tcPr>
            <w:tcW w:w="34"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业绩比较基准收益率③</w:t>
            </w:r>
          </w:p>
        </w:tc>
        <w:tc>
          <w:tcPr>
            <w:tcW w:w="5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业绩比较基准收益率标准差④</w:t>
            </w:r>
          </w:p>
        </w:tc>
        <w:tc>
          <w:tcPr>
            <w:tcW w:w="3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①-③</w:t>
            </w:r>
          </w:p>
        </w:tc>
        <w:tc>
          <w:tcPr>
            <w:tcW w:w="3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②-④</w:t>
            </w:r>
          </w:p>
        </w:tc>
      </w:tr>
      <w:tr w:rsidR="00BE2C03">
        <w:trPr>
          <w:cantSplit/>
          <w:trHeight w:val="375"/>
        </w:trPr>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2019年</w:t>
            </w:r>
          </w:p>
        </w:tc>
        <w:tc>
          <w:tcPr>
            <w:tcW w:w="4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56.76%</w:t>
            </w:r>
          </w:p>
        </w:tc>
        <w:tc>
          <w:tcPr>
            <w:tcW w:w="4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1.24%</w:t>
            </w:r>
          </w:p>
        </w:tc>
        <w:tc>
          <w:tcPr>
            <w:tcW w:w="34"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15.52%</w:t>
            </w:r>
          </w:p>
        </w:tc>
        <w:tc>
          <w:tcPr>
            <w:tcW w:w="5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0.59%</w:t>
            </w:r>
          </w:p>
        </w:tc>
        <w:tc>
          <w:tcPr>
            <w:tcW w:w="3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41.24%</w:t>
            </w:r>
          </w:p>
        </w:tc>
        <w:tc>
          <w:tcPr>
            <w:tcW w:w="3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0.65%</w:t>
            </w:r>
          </w:p>
        </w:tc>
      </w:tr>
      <w:tr w:rsidR="00BE2C03">
        <w:trPr>
          <w:cantSplit/>
          <w:trHeight w:val="375"/>
        </w:trPr>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2020年</w:t>
            </w:r>
          </w:p>
        </w:tc>
        <w:tc>
          <w:tcPr>
            <w:tcW w:w="4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37.13%</w:t>
            </w:r>
          </w:p>
        </w:tc>
        <w:tc>
          <w:tcPr>
            <w:tcW w:w="4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1.57%</w:t>
            </w:r>
          </w:p>
        </w:tc>
        <w:tc>
          <w:tcPr>
            <w:tcW w:w="34"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6.19%</w:t>
            </w:r>
          </w:p>
        </w:tc>
        <w:tc>
          <w:tcPr>
            <w:tcW w:w="5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0.80%</w:t>
            </w:r>
          </w:p>
        </w:tc>
        <w:tc>
          <w:tcPr>
            <w:tcW w:w="3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30.94%</w:t>
            </w:r>
          </w:p>
        </w:tc>
        <w:tc>
          <w:tcPr>
            <w:tcW w:w="3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0.77%</w:t>
            </w:r>
          </w:p>
        </w:tc>
      </w:tr>
      <w:tr w:rsidR="00BE2C03">
        <w:trPr>
          <w:cantSplit/>
          <w:trHeight w:val="375"/>
        </w:trPr>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2021年</w:t>
            </w:r>
          </w:p>
        </w:tc>
        <w:tc>
          <w:tcPr>
            <w:tcW w:w="4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12.99%</w:t>
            </w:r>
          </w:p>
        </w:tc>
        <w:tc>
          <w:tcPr>
            <w:tcW w:w="4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1.46%</w:t>
            </w:r>
          </w:p>
        </w:tc>
        <w:tc>
          <w:tcPr>
            <w:tcW w:w="34"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-2.90%</w:t>
            </w:r>
          </w:p>
        </w:tc>
        <w:tc>
          <w:tcPr>
            <w:tcW w:w="5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0.62%</w:t>
            </w:r>
          </w:p>
        </w:tc>
        <w:tc>
          <w:tcPr>
            <w:tcW w:w="3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15.89 %</w:t>
            </w:r>
          </w:p>
        </w:tc>
        <w:tc>
          <w:tcPr>
            <w:tcW w:w="3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0.84%</w:t>
            </w:r>
          </w:p>
        </w:tc>
      </w:tr>
      <w:tr w:rsidR="00BE2C03">
        <w:trPr>
          <w:cantSplit/>
          <w:trHeight w:val="375"/>
        </w:trPr>
        <w:tc>
          <w:tcPr>
            <w:tcW w:w="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2022年</w:t>
            </w:r>
          </w:p>
        </w:tc>
        <w:tc>
          <w:tcPr>
            <w:tcW w:w="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-23.14%</w:t>
            </w:r>
          </w:p>
        </w:tc>
        <w:tc>
          <w:tcPr>
            <w:tcW w:w="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1.34%</w:t>
            </w:r>
          </w:p>
        </w:tc>
        <w:tc>
          <w:tcPr>
            <w:tcW w:w="34"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-6.93%</w:t>
            </w:r>
          </w:p>
        </w:tc>
        <w:tc>
          <w:tcPr>
            <w:tcW w:w="5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0.90%</w:t>
            </w:r>
          </w:p>
        </w:tc>
        <w:tc>
          <w:tcPr>
            <w:tcW w:w="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-16.21%</w:t>
            </w:r>
          </w:p>
        </w:tc>
        <w:tc>
          <w:tcPr>
            <w:tcW w:w="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0.44%</w:t>
            </w:r>
          </w:p>
        </w:tc>
      </w:tr>
      <w:tr w:rsidR="00BE2C03">
        <w:trPr>
          <w:cantSplit/>
          <w:trHeight w:val="375"/>
        </w:trPr>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自基金合同生效日（2018年12月7日）起至2022年12月31日</w:t>
            </w:r>
          </w:p>
        </w:tc>
        <w:tc>
          <w:tcPr>
            <w:tcW w:w="4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86.40%</w:t>
            </w:r>
          </w:p>
        </w:tc>
        <w:tc>
          <w:tcPr>
            <w:tcW w:w="4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1.40%</w:t>
            </w:r>
          </w:p>
        </w:tc>
        <w:tc>
          <w:tcPr>
            <w:tcW w:w="34"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8.79%</w:t>
            </w:r>
          </w:p>
        </w:tc>
        <w:tc>
          <w:tcPr>
            <w:tcW w:w="5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0.73%</w:t>
            </w:r>
          </w:p>
        </w:tc>
        <w:tc>
          <w:tcPr>
            <w:tcW w:w="3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77.61%</w:t>
            </w:r>
          </w:p>
        </w:tc>
        <w:tc>
          <w:tcPr>
            <w:tcW w:w="3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0.67%</w:t>
            </w:r>
          </w:p>
        </w:tc>
      </w:tr>
    </w:tbl>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14" w:name="_Toc139637443"/>
      <w:r>
        <w:rPr>
          <w:rFonts w:ascii="宋体" w:hAnsi="宋体"/>
          <w:sz w:val="30"/>
        </w:rPr>
        <w:t>十一、基金的财产</w:t>
      </w:r>
      <w:bookmarkEnd w:id="14"/>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（一）基金资产总值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基金资产总值是指基金拥有的各类有价证券及票据价值、股指期货合约、银行存款本息和基金应收的款项以及其他资产价值总和。</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（二）基金资产净值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基金资产净值是指基金资产总值减去基金负债后的价值。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（三）基金财产的账户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（四）基金财产的保管和处分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财产独立于基金管理人、基金托管人和基金销售机构的财产，并由基金托管人对基金托管账户中的资金进行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15" w:name="_Toc139637444"/>
      <w:r>
        <w:rPr>
          <w:rFonts w:ascii="宋体" w:hAnsi="宋体"/>
          <w:sz w:val="30"/>
        </w:rPr>
        <w:t>十二、基金资产估值</w:t>
      </w:r>
      <w:bookmarkEnd w:id="15"/>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（一）估值日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本基金的估值日为本基金相关的证券/期货交易所的交易日以及国家法律法规规定需要对外披露基金净值的非交易日。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（二）估值对象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基金所拥有的股票、权证、股指期货合约、债券和银行存款本息、应收款项、其它投资等资产及负债。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（三）估值方法</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1、证券交易所上市的有价证券的估值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（2）交易所上市实行净价交易的债券按第三方估值机构提供的相应品种当日的估值净价估值；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交易所上市未实行净价交易的债券按估值日收盘价或第三方估值机构提供的相应品种当日的估值全价减去债券收盘价或估值全价中所含的债券应收利息得到的净价进行估值；估值日没有交易的，且最近交易日后经济环境未发生重大变化，按最近交易日债券收盘价或第三方估值机构提供的相应品种当日的估值全价减去债券收盘价或估值全价中所含的债券应收利息得到的净价进行估值。如最近交易日后经济环境发生了重大变化的，可参考类似投资品种的现行市价及重大变化因素，调整最近交易市价，确定公允价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（4）交易所上市不存在活跃市场的有价证券，采用估值技术确定公允价值。交易所上市的资产支持证券，采用估值技术确定公允价值，在估值技术难以可靠计量公允价值的情况下，按成本估值；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（5）本基金投资存托凭证的估值核算，依照境内上市交易的股票执行。</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2、处于未上市期间的有价证券应区分如下情况处理：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（1）送股、转增股、配股和公开增发的股票，按估值日在证券交易所挂牌的同一股票的估值方法估值；该日无交易的，以最近一日的市价（收盘价）估值；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（2）首次公开发行未上市的股票、债券和权证，采用估值技术确定公允价值，在估值技术难以可靠计量公允价值的情况下，按成本估值；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流通受限的股票，包括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3、全国银行间债券市场交易的债券、资产支持证券等品种，以第三方估值机构提供的价格数据估值。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4、同一股票、债券同时在两个或两个以上市场交易的，按股票、债券所处的市场分别估值。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5、本基金持有的回购以成本列示，按合同利率在回购期间内逐日计提应收或应付利息。</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6、本基金持有的银行存款和备付金余额以本金列示，按相应利率逐日计提利息。</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7、本基金投资股指期货合约，按估值当日结算价进行估值，估值当日无结算价的，且最近交易日后经济环境未发生重大变化的，采用最近交易日结算价估值。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8、估值计算中涉及港币对人民币汇率的，将依据当日中国人民银行或其授权机构公布的港元对人民币的中间价为准。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9、如有确凿证据表明按上述方法进行估值不能客观反映其公允价值的，基金管理人可根据具体情况与基金托管人商定后，按最能反映公允价值的价格估值。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10、当发生大额申购或赎回情形时，基金管理人可以采用摆动定价机制，以确保基金估值的公平性。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11、相关法律法规以及监管部门有强制规定的，从其规定。如有新增事项，按国家最新规定估值。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发现基金估值违反基金合同订明的估值方法、程序以及相关法律法规的规定或者未能充分维护基金份额持有人利益时，发现方应及时通知对方，共同查明原因，双方协商，以约定的方法、程序和相关法律法规的规定进行估值，以维护基金份额持有人的利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法律法规，基金资产净值计算、基金份额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（四）估值程序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1、基金份额净值是按照每个估值日闭市后，基金资产净值除以当日基金份额的余额数量计算，精确到0.0001元，小数点后第5位四舍五入。国家另有规定的，从其规定。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基金管理人于每个估值日计算基金资产净值及基金份额净值，经基金托管人复核，并按规定公告。如遇特殊情况，经中国证监会同意，可以适当延迟计算或公告。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应每个估值日对基金资产估值。但基金管理人根据法律法规或基金合同的规定暂停估值时除外。基金管理人每个估值日对基金资产估值后，将拟公告的基金份额净值结果发送基金托管人，经基金托管人复核无误后，由基金管理人按约定对外公布。</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（五）估值错误的处理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基金管理人和基金托管人将采取必要、适当、合理的措施确保基金资产估值的准确性、及时性。当基金份额净值小数点后4位以内(含第4位)发生估值错误时，视为基金份额净值错误。</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一方当事人提供的信息错误，另一方当事人在采取了必要合理的措施后仍不能发现该错误，进而导致基金资产净值计算错误造成投资人或基金的损失，以及由此造成以后交易日基金资产净值计算顺延错误而引起的投资人或基金的损失，由提供错误信息的当事人一方负责赔偿。</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基金合同的当事人应按照以下约定处理：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1、估值错误类型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如果由于基金管理人或基金托管人、或登记机构、或其他销售机构、或投资人自身的过错造成估值错误，导致其他当事人遭受损失的，过错的责任人应当对由于该估值错误遭受损失当事人(“受损方”)的直接损失按下述“估值错误处理原则”给予赔偿，承担赔偿责任。</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上述估值错误的主要类型包括但不限于：资料申报差错、数据传输差错、数据计算差错、系统故障差错、下达指令差错等。</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2、估值错误处理原则</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（2）估值错误的责任方对有关当事人的直接损失负责，不对间接损失负责，并且仅对估值错误的有关直接当事人负责，不对第三方负责。</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（4）估值错误调整采用尽量恢复至假设未发生估值错误的正确情形的方式。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3、估值错误处理程序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估值错误被发现后，有关的当事人应当及时进行处理，处理的程序如下：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（1）查明估值错误发生的原因，列明所有的当事人，并根据估值错误发生的原因确定估值错误的责任方；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（2）根据估值错误处理原则或当事人协商的方法对因估值错误造成的损失进行评估；</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（3）根据估值错误处理原则或当事人协商的方法由估值错误的责任方进行更正和赔偿损失；</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（4）根据估值错误处理的方法，需要修改基金登记机构交易数据的，由基金登记机构进行更正，并就估值错误的更正向有关当事人进行确认。</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4、基金份额净值估值错误处理的方法如下：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（1）基金份额净值计算出现错误时，基金管理人应当立即予以纠正，通报基金托管人，并采取合理的措施防止损失进一步扩大。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（2）错误偏差达到基金份额净值的0.25%时，基金管理人应当通报基金托管人并报中国证监会备案；错误偏差达到基金份额净值的0.5%时，基金管理人应当公告，并报中国证监会备案。</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（3）前述内容如法律法规或监管机关另有规定的，从其规定处理。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基金托管人发现基金份额净值计价出现重大错误或者估值出现重大偏离的，应当提示基金管理人依法履行披露和报告义务。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（六）暂停估值的情形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1、基金投资所涉及的证券/期货交易市场遇法定节假日或因其他原因暂停营业时；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2、因不可抗力致使基金管理人、基金托管人无法准确评估基金资产价值时；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3、当特定资产占前一估值日基金资产净值50%以上的，经与基金托管人协商确认后，基金管理人应当暂停估值；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4、法律法规、中国证监会和基金合同认定的其它情形。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（七）基金资产净值、基金份额净值的确认</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和基金份额净值由基金管理人负责计算，基金托管人负责进行复核。基金管理人应于每个估值日交易结束后计算当日的基金资产净值和基金份额净值并发送给基金托管人。基金托管人对净值计算结果复核确认后发送给基金管理人，由基金管理人按规定对基金份额净值予以公布。</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（八）特殊情况的处理方法</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1、基金管理人或基金托管人按估值方法的第9项进行估值时，所造成的误差不作为基金资产估值错误处理。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由于证券/期货交易所或银行间债券交易市场、登记结算公司、证券/期货经纪机构发送的数据错误、第三方估值机构提供的估值数据错误，有关会计制度变化或由于其他不可抗力原因，基金管理人和基金托管人虽然已经采取必要、适当、合理的措施进行检查，但未能发现该错误的，由此造成的基金资产估值错误，基金管理人和基金托管人免除赔偿责任，但基金管理人、基金托管人应当积极采取必要的措施消除或减轻由此造成的影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（九）实施侧袋机制期间的基金资产估值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本基金实施侧袋机制的，应根据本部分的约定对主袋账户资产进行估值并披露主袋账户的基金净值信息，暂停披露侧袋账户的基金净值信息。</w:t>
      </w:r>
    </w:p>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16" w:name="_Toc139637445"/>
      <w:r>
        <w:rPr>
          <w:rFonts w:ascii="宋体" w:hAnsi="宋体"/>
          <w:sz w:val="30"/>
        </w:rPr>
        <w:t>十三、基金的收益与分配</w:t>
      </w:r>
      <w:bookmarkEnd w:id="16"/>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（一）基金利润的构成</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基金利润指基金利息收入、投资收益、公允价值变动收益和其他收入扣除相关费用后的余额，基金已实现收益指基金利润减去公允价值变动收益后的余额。</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（二）基金可供分配利润</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基金可供分配利润指截至收益分配基准日基金未分配利润与未分配利润中已实现收益的孰低数。</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（三）基金收益分配原则</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1、本基金在符合基金法定分红条件的前提下可进行收益分配，每次收益分配等具体分红方案见基金管理人根据基金运作情况届时不定期发布的相关分红公告，若《基金合同》生效不满3个月则不进行收益分配；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收益分配方式分两种：现金分红与红利再投资，基金份额持有人可选择现金红利或将现金红利自动转为基金份额进行再投资；若基金份额持有人不选择，本基金默认的收益分配方式是现金分红；红利再投方式免收再投资的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3、基金收益分配后基金份额净值不能低于面值，即基金收益分配基准日的基金份额净值减去每单位基金份额收益分配金额后不能低于面值；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4、每一基金份额享有同等分配权；</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5、法律法规或监管机关另有规定的，从其规定。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本基金每次收益分配比例详见基金管理人发布的公告。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不违反法律法规且对基金份额持有人利益无实质不利影响的前提下，基金管理人可在法律法规允许的前提下，按照监管部门要求履行适当程序并与基金托管人协商一致后，酌情调整以上基金收益分配原则，并于变更实施日前在规定媒介上公告，且不需召开基金份额持有人大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（四）收益分配方案</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基金收益分配方案中应载明截至收益分配基准日的可供分配利润、基金收益分配对象、分配时间、分配数额及比例、分配方式等内容。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（五）收益分配方案的确定、公告与实施</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本基金收益分配方案由基金管理人拟定，并由基金托管人复核，依照《信息披露办法》的有关规定在规定媒介公告。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基金红利发放日距离收益分配基准日（即可供分配利润计算截止日）的时间不得超过15个工作日。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（六）基金收益分配中发生的费用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时所发生的银行转账或其他手续费用由基金份额持有人自行承担。当基金份额持有人的现金红利小于一定金额，不足以支付银行转账或其他手续费用时，基金登记机构可将该基金份额持有人的现金红利转为基金份额。红利再投资的计算方法，依照登记机构相关业务规则执行。</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（七）实施侧袋机制期间的收益分配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本基金实施侧袋机制的，侧袋账户不进行收益分配，详见本招募说明书“侧袋机制”部分的规定。</w:t>
      </w:r>
    </w:p>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17" w:name="_Toc139637446"/>
      <w:r>
        <w:rPr>
          <w:rFonts w:ascii="宋体" w:hAnsi="宋体"/>
          <w:sz w:val="30"/>
        </w:rPr>
        <w:t>十四、基金的费用与税收</w:t>
      </w:r>
      <w:bookmarkEnd w:id="17"/>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（一）基金费用的种类</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3、《基金合同》生效后与基金相关的信息披露费用；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4、《基金合同》生效后与基金相关的会计师费、审计费、律师费、诉讼费、仲裁费等费用；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5、基金份额持有人大会费用；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6、基金的证券/期货交易结算费用（包括但不限于经手费、印花税、证管费、过户费、手续费、经纪商佣金、权证交易的结算费、证券/期货账户相关费用及其他类似性质的费用等）；</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7、基金的银行汇划费用；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8、基金投资相关的开户费和维护费用；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9、因投资港股通标的股票而产生的各项合理费用；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10、按照国家有关规定和《基金合同》约定，可以在基金财产中列支的其他费用。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本基金终止清算时所发生费用，按实际支出额从基金财产总值中扣除。</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（二）基金费用计提方法、计提标准和支付方式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本基金的管理费按前一日基金资产净值的1.50%年费率计提。管理费的计算方法如下：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H＝E×1.50%÷当年天数</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H为每日应计提的基金管理费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费每日计提，逐日累计至每个月月末，按月支付。经基金管理人与基金托管人核对一致后于次月首日起3个工作日内从基金资产中一次性支付给基金管理人。若遇法定节假日、休息日或不可抗力致使无法按时支付的，顺延至最近可支付日支付。</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本基金的托管费按前一日基金资产净值的0.25%年费率计提。托管费的计算方法如下：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H＝E×0.25%÷当年天数</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H为每日应计提的基金托管费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费每日计提，逐日累计至每个月月末，按月支付。经基金管理人与基金托管人核对一致后于次月首日起3个工作日内从基金资产中一次性支付给基金托管人。若遇法定节假日、休息日或不可抗力致使无法按时支付的，顺延至最近可支付日支付。</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上述“（一）基金费用的种类”中第3－10项费用，根据有关法规及相应协议规定，按费用实际支出金额列入当期费用，由基金托管人从基金财产中支付。</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（三）不列入基金费用的项目</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下列费用不列入基金费用：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1、基金管理人和基金托管人因未履行或未完全履行义务导致的费用支出或基金财产的损失；</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2、基金管理人和基金托管人处理与基金运作无关的事项发生的费用；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3、《基金合同》生效前的相关费用；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4、其他根据相关法律法规及中国证监会的有关规定不得列入基金费用的项目。</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（四）基金管理费和基金托管费的调整</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基金管理人和基金托管人可根据基金发展情况调整基金管理费率和基金托管费率，此项调整需要基金份额持有人大会决议通过。基金管理人必须依照有关规定于新的费率实施日前在规定媒介上刊登公告。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（五）实施侧袋机制期间的基金费用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本基金实施侧袋机制的，与侧袋账户有关的费用可以从侧袋账户中列支，但应待侧袋账户资产变现后方可列支，有关费用可酌情收取或减免，但不得收取管理费，详见本招募说明书“侧袋机制”部分的规定。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（六）基金税收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18" w:name="_Toc139637447"/>
      <w:r>
        <w:rPr>
          <w:rFonts w:ascii="宋体" w:hAnsi="宋体"/>
          <w:sz w:val="30"/>
        </w:rPr>
        <w:t>十五、基金的会计和审计</w:t>
      </w:r>
      <w:bookmarkEnd w:id="18"/>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（一）基金会计政策</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1、基金管理人为本基金的基金会计责任方；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2、基金的会计年度为公历年度的1月1日至12月31日；基金首次募集的会计年度按如下原则：如果《基金合同》生效少于2个月，可以并入下一个会计年度披露；</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3、基金核算以人民币为记账本位币，以人民币元为记账单位；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4、会计制度执行国家有关会计制度；</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5、本基金独立建账、独立核算；</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6、基金管理人及基金托管人各自保留完整的会计账目、凭证并进行日常的会计核算，按照有关规定编制基金会计报表；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7、基金托管人每月与基金管理人就基金的会计核算、报表编制等进行核对并以书面方式确认。</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法律法规或监管部门对基金会计政策另有规定的，从其规定。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（二）基金的年度审计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1、基金管理人聘请与基金管理人、基金托管人相互独立的符合《中华人民共和国证券法》规定的会计师事务所及其注册会计师对本基金的年度财务报表进行审计。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2、会计师事务所更换经办注册会计师，应事先征得基金管理人同意。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3、基金管理人认为有充足理由更换会计师事务所，须通报基金托管人。更换会计师事务所需按照《信息披露办法》的有关规定在规定媒介公告。</w:t>
      </w:r>
    </w:p>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19" w:name="_Toc139637448"/>
      <w:r>
        <w:rPr>
          <w:rFonts w:ascii="宋体" w:hAnsi="宋体"/>
          <w:sz w:val="30"/>
        </w:rPr>
        <w:t>十六、基金的信息披露</w:t>
      </w:r>
      <w:bookmarkEnd w:id="19"/>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本基金的信息披露应符合《基金法》、《运作办法》、《信息披露办法》、《基金合同》及其他有关规定。相关法律法规关于信息披露的披露方式、登载媒介、报备方式等规定发生变化时，本基金从其最新规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（二）信息披露义务人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本基金信息披露义务人包括基金管理人、基金托管人、召集基金份额持有人大会的基金份额持有人等法律、行政法规和中国证监会规定的自然人、法人和非法人组织。</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本基金信息披露义务人以保护基金份额持有人利益为根本出发点，按照法律法规和中国证监会的规定披露基金信息，并保证所披露信息的真实性、准确性、完整性、及时性、简明性和易得性。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人能够按照基金合同约定的时间和方式查阅或者复制公开披露的信息资料。</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（三）本基金信息披露义务人承诺公开披露的基金信息，不得有下列行为：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1、虚假记载、误导性陈述或者重大遗漏；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2、对证券投资业绩进行预测；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3、违规承诺收益或者承担损失；</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4、诋毁其他基金管理人、基金托管人或者基金销售机构；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5、登载任何自然人、法人和非法人组织的祝贺性、恭维性或推荐性的文字；</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6、法律、行政法规和中国证监会规定禁止的其他行为。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（四）本基金公开披露的信息应采用中文文本。同时采用外文文本的，基金信息披露义务人应保证不同文本的内容一致。不同文本之间发生歧义的，以中文文本为准。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本基金公开披露的信息采用阿拉伯数字；除特别说明外，货币单位为人民币元。</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（五）公开披露的基金信息</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公开披露的基金信息包括：</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1、基金招募说明书、《基金合同》、基金托管协议、基金产品资料概要</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（1）《基金合同》是界定《基金合同》当事人的各项权利、义务关系，明确基金份额持有人大会召开的规则及具体程序，说明基金产品的特性等涉及投资人重大利益的事项的法律文件。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（3）基金托管协议是界定基金托管人和基金管理人在基金财产保管及基金运作监督等活动中的权利、义务关系的法律文件。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募集申请经中国证监会注册后，基金管理人在基金份额发售的3日前，将基金招募说明书、《基金合同》摘要登载在规定媒介上；基金管理人、基金托管人应当将《基金合同》、基金托管协议登载在各自网站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2、基金份额发售公告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基金管理人应当就基金份额发售的具体事宜编制基金份额发售公告，并在披露招募说明书的当日登载于规定媒介上。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基金管理人应当在收到中国证监会确认文件的次日在规定媒介上登载《基金合同》生效公告。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基金合同生效公告中将说明基金募集情况及基金管理人、基金管理人高级管理人员、基金经理等人员以及基金管理人股东持有的基金份额、承诺持有的期限等情况。</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4、基金净值信息</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《基金合同》生效后，在开始办理基金份额申购或者赎回前，基金管理人应当至少每周公告一次基金份额净值和基金份额累计净值。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在开始办理基金份额申购或者赎回后，基金管理人应当在不晚于每个开放日的次日，通过规定网站、基金销售机构网站或者营业网点披露开放日的基金份额净值和基金份额累计净值。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基金管理人应当在不晚于半年度和年度最后一日的次日，在规定网站披露半年度和年度最后一日的基金份额净值和基金份额累计净值。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5、基金份额申购、赎回价格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基金管理人应当在《基金合同》、招募说明书等信息披露文件上载明基金份额申购、赎回价格的计算方式及有关申购、赎回费率，并保证投资人能够在基金销售机构网站或营业网点查阅或者复制前述信息资料。</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6、基金定期报告，包括基金年度报告、基金中期报告和基金季度报告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基金管理人应当在上半年结束之日起两个月内，编制完成基金中期报告，将中期报告登载在规定网站上，并将中期报告提示性公告登载在规定报刊上。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基金管理人应当在季度结束之日起15个工作日内，编制完成基金季度报告，将季度报告登载在规定网站上，并将季度报告提示性公告登载在规定报刊上。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《基金合同》生效不足2个月的，基金管理人可以不编制当期季度报告、中期报告或者年度报告。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基金管理人应在年度报告、中期报告、季度报告中分别披露基金管理人、基金管理人高级管理人员、基金经理等人员以及基金管理人股东持有基金的份额、期限及期间的变动情况。</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报告期内出现单一投资人持有基金份额比例达到或者超过基金总份额20%的情形，为保障其他投资人权益，基金管理人应当至少在季度报告、中期报告、年度报告等定期报告文件中“影响投资者决策的其他重要信息”项下披露该投资人的类别、报告期末持有份额及占比、报告期内持有份额变化情况及本基金的特有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本基金持续运作过程中，基金管理人应当在基金年度报告和中期报告中披露基金组合资产情况及其流动性风险分析。</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7、临时报告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本基金发生重大事件，有关信息披露义务人应当按照《信息披露办法》的有关规定编制临时报告书，并登载在规定报刊和规定网站上。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前款所称重大事件，是指可能对基金份额持有人权益或者基金份额的价格产生重大影响的下列事件：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（1）基金份额持有人大会的召开及决定的事项；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（2）《基金合同》终止、基金清算；</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（3）转换基金运作方式、基金合并；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（4）更换基金管理人、基金托管人、基金份额登记机构，基金改聘会计师事务所；</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（5）基金管理人委托基金服务机构代为办理基金的份额登记、核算、估值等事项，基金托管人委托基金服务机构代为办理基金的核算、估值、复核等事项；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（6）基金管理人、基金托管人的法定名称、住所发生变更；</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（7）基金管理人变更持有百分之五以上股权的股东、基金管理人的实际控制人变更；</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（8）基金募集期延长；</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（9）基金管理人的高级管理人员、基金经理和基金托管人专门基金托管部门负责人发生变动；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（10）基金管理人的董事在最近12个月内变更超过百分之五十，基金管理人、基金托管人专门基金托管部门的主要业务人员在最近12个月内变动超过百分之三十；</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（11）涉及基金管理业务、基金财产、基金托管业务的诉讼或仲裁；</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（12）基金管理人或其高级管理人员、基金经理因基金管理业务相关行为受到重大行政处罚、刑事处罚，基金托管人或其专门基金托管部门负责人因基金托管业务相关行为受到重大行政处罚、刑事处罚；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（14）基金收益分配事项；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（15）管理费、托管费、申购费、赎回费等费用计提标准、计提方式和费率发生变更；</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（16）基金份额净值计价错误达基金份额净值百分之零点五；</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（17）本基金开始办理申购、赎回；</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（18）本基金发生巨额赎回并延期办理；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（19）本基金连续发生巨额赎回并暂停接受赎回申请或延缓支付赎回款项；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（20）本基金暂停接受申购、赎回申请或重新接受申购、赎回申请；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（21）调整基金份额类别设置；</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（22）基金推出新业务或服务；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（23）发生涉及基金申购、赎回事项调整或潜在影响投资人赎回等重大事项时；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（24）基金管理人采用摆动定价机制进行估值时；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（25）基金信息披露义务人认为可能对基金份额持有人权益或者基金份额的价格产生重大影响的其他事项或中国证监会规定或基金合同约定的其他事项。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8、澄清公告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9、基金份额持有人大会决议</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基金份额持有人大会决定的事项，应当依法报中国证监会备案，并予以公告。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10、清算报告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基金合同终止的，基金管理人应当依法组织基金财产清算小组对基金财产进行清算并作出清算报告。基金财产清算小组应当将清算报告登载在规定网站上，并将清算报告提示性公告登载在规定报刊上。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11、基金投资股指期货相关信息披露</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股指期货的，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12、投资资产支持证券信息披露</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资产支持证券的，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13、投资港股通标的股票相关信息</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基金管理人应当在季度报告、中期报告、年度报告等定期报告和招募说明书（更新）等文件中披露港股通标的股票的投资情况。</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14、实施侧袋机制期间的信息披露</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本基金实施侧袋机制的，相关信息披露义务人应当根据法律法规、基金合同和招募说明书的规定进行信息披露，详见本招募说明书“侧袋机制”部分的规定。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15、中国证监会规定的其他信息。</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（六）信息披露事务管理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基金管理人、基金托管人应当建立健全信息披露管理制度，指定专门部门及高级管理人员负责管理信息披露事务。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基金信息披露义务人公开披露基金信息，应当符合中国证监会相关基金信息披露内容与格式准则等法律法规规定。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基金管理人、基金托管人应当在规定报刊中选择一家报刊披露本基金信息。基金管理人、基金托管人应当向中国证监会基金电子披露网站报送拟披露的基金信息，并保证相关报送信息的真实、准确、完整、及时。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为基金信息披露义务人公开披露的基金信息出具审计报告、法律意见书的专业机构，应当制作工作底稿，并将相关档案至少保存到《基金合同》终止后10年。</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（七）信息披露文件的存放与查阅</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依法必须披露的信息发布后，基金管理人、基金托管人应当按照相关法律法规规定将信息置备于各自住所，供社会公众查阅、复制。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（八）暂停或延迟信息披露的情形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当出现下述情况时，基金管理人和基金托管人可暂停或延迟披露基金信息：</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1、基金投资所涉及的证券、期货交易所遇法定节假日或因其他原因暂停营业时；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2、发生暂停估值的情形；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3、不可抗力；</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4、法律法规规定、中国证监会或《基金合同》认定的其他情形。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（九）本基金信息披露事项以法律法规规定及本章节约定的内容为准。</w:t>
      </w:r>
    </w:p>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20" w:name="_Toc139637449"/>
      <w:r>
        <w:rPr>
          <w:rFonts w:ascii="宋体" w:hAnsi="宋体"/>
          <w:sz w:val="30"/>
        </w:rPr>
        <w:t>十七、侧袋机制</w:t>
      </w:r>
      <w:bookmarkEnd w:id="20"/>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（一）侧袋机制的实施条件、实施程序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基金管理人应当在启用侧袋机制后及时发布临时公告，并及时聘请符合《中华人民共和国证券法》规定的会计师事务所进行审计并披露专项审计意见。</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（二）侧袋机制实施期间的基金运作安排</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1、基金份额的申购与赎回</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启用侧袋机制当日，基金登记机构以基金份额持有人的原有账户为基础，按照当日份额，确认相应侧袋账户基金份额持有人名册和份额；当日收到的申购申请，按照启用侧袋机制后的主袋账户份额办理；当日收到的赎回申请，仅办理主袋账户的赎回申请并支付赎回款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（2）实施侧袋机制期间，基金管理人不办理侧袋账户份额的申购、赎回和转换；同时，基金管理人按照基金合同和本招募说明书的约定办理主袋账户份额的赎回，并根据主袋账户运作情况确定是否暂停申购。</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2、实施侧袋机制期间的基金投资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本招募说明书“基金的投资”部分约定的投资组合比例、投资策略、组合限制、业绩比较基准、风险收益特征等约定仅适用于主袋账户。基金管理人计算各项投资运作指标和基金业绩指标时仅需考虑主袋账户资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基金管理人原则上应当在侧袋机制启用后20个交易日内完成对主袋账户投资组合的调整，因资产流动性受限等中国证监会规定的情形除外。</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基金管理人不得在侧袋账户中进行除特定资产处置变现以外的其他投资操作。</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3、实施侧袋账户期间的基金费用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（1）侧袋机制实施期间，侧袋账户资产不收取基金管理费。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（2）与侧袋账户有关的费用可从侧袋账户中列支，但应待侧袋账户资产变现后方可列支，有关费用可酌情收取或减免。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4、基金的收益分配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侧袋机制实施期间，在主袋账户份额满足基金合同收益分配条件的情形下，基金管理人可对主袋账户份额进行收益分配。侧袋账户不进行收益分配。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5、侧袋机制的信息披露</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（1）基金净值信息</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基金管理人应按照本招募说明书“基金的信息披露”部分规定的基金净值信息披露方式和频率披露主袋账户的基金净值信息。实施侧袋机制期间本基金暂停披露侧袋账户份额净值。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（2）定期报告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基金管理人应当在基金定期报告中披露报告期内特定资产处置进展情况，披露报告期末特定资产可变现净值或净值区间的，该净值或净值区间并不代表特定资产最终的变现价格，不作为基金管理人对特定资产最终变现价格的承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（3）临时公告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基金管理人在启用侧袋机制、处置特定资产、终止侧袋机制以及发生其他可能对投资者利益产生重大影响的事项后应及时发布临时公告。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启用侧袋机制的临时公告内容应当包括启用原因及程序、特定资产流动性和估值情况、对投资者申购赎回的影响、风险提示等重要信息。</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处置特定资产的临时公告内容应当包括特定资产处置价格和时间、向侧袋账户份额持有人支付的款项、相关费用发生情况等重要信息。</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6、侧袋账户中特定资产的处置变现和支付</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特定资产以可出售、可转让、恢复交易等方式恢复流动性后，基金管理人应当按照基金份额持有人利益最大化原则，采取将特定资产予以处置变现等方式，及时向侧袋账户份额持有人支付对应款项。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终止侧袋机制后，基金管理人及时聘请符合《中华人民共和国证券法》规定的会计师事务所进行审计并披露专项审计意见。</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本部分关于侧袋机制的相关规定，凡是直接引用法律法规或监管规则的部分，如将来法律法规或监管规则修改导致相关内容被取消或变更的，基金管理人经与基金托管人协商一致并履行适当程序后，可直接对本部分内容进行修改和调整，无需召开基金份额持有人大会审议。</w:t>
      </w:r>
    </w:p>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21" w:name="_Toc139637450"/>
      <w:r>
        <w:rPr>
          <w:rFonts w:ascii="宋体" w:hAnsi="宋体"/>
          <w:sz w:val="30"/>
        </w:rPr>
        <w:t>十八、风险揭示</w:t>
      </w:r>
      <w:bookmarkEnd w:id="21"/>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（一）市场风险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本基金投资于证券市场，证券价格受整体政治、经济、社会等环境因素的影响会产生波动，从而对本基金的投资产生潜在风险，导致本基金的收益水平发生波动。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1、政策风险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政策风险是指国家货币政策、财政政策、产业政策等宏观经济政策发生重大变化而导致的本基金投资对象的价格波动，从而给投资人带来的风险。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2、经济周期风险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经济运行具有周期性的特点，市场的收益水平随经济运行的周期性变动而变动，本基金所投资的权益类和/或债券类相关投资工具的收益水平也会随之变化，从而产生风险。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3、利率风险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金融市场利率的波动会导致证券市场价格和收益率的变动。利率不仅直接影响着债券的价格和收益率，还影响着企业的融资成本和利润。基金投资于权益类和/或债券类相关投资工具，其收益水平可能会受到利率变化的影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4、购买力风险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基金的一部分收益将通过现金形式来分配，而现金的购买力可能因为通货膨胀的影响而下降，从而给投资人带来实际收益水平下降的风险。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5、再投资风险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市场利率下降将影响债券利息收入的再投资收益率。</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6、债券发行人提前兑付风险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当利率下降时，拥有提前兑付权的债券发行人往往会行使该类权利。在此情形下，基金经理不得不将兑付资金再投资到收益率更低的债券上，从而影响投资组合的整体回报率。</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7、上市公司经营风险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市公司的经营状况受多种因素的影响，如管理能力、行业竞争、市场前景、技术更新、财务状况、新产品研究开发等都会导致公司盈利发生变化。如果基金所投资的上市公司经营不善，其股票价格可能下跌，或者能够用于分配的利润减少，使基金投资收益下降。上市公司还可能出现难以预见的变化。虽然基金可以通过投资多样化来分散这种非系统风险，但不能完全避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8、信用风险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信用风险是指金融工具的一方到期无法履行约定义务致使本基金遭受损失的风险。基金在交易过程中可能发生交收违约或者所投资债券的发行人违约、拒绝支付到期本息等情况，从而导致基金资产损失。</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9、通货膨胀风险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由于通货膨胀率提高，基金的实际投资价值会因此降低。</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10、法律风险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由于法律法规方面的原因，某些市场行为受到限制或合同不能正常执行，导致了基金资产损失的风险。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（二）基金运作风险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1、管理风险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基金管理运作过程中基金管理人的知识、经验、判断、决策、技能等，会影响其对信息的占有和对经济形势、证券价格走势的判断，从而影响本基金收益水平。此外，基金管理人的职业操守和道德标准同样都有可能对本基金回报带来负面影响。因此，本基金可能因为基金管理人的因素而影响基金收益水平。</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2、操作或技术风险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相关当事人在业务各环节操作过程中，可能因内部控制存在缺陷或者人为因素造成操作失误或违反操作规程等导致本基金资产损失，例如，越权违规交易、会计部门欺诈、交易错误等。</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的各种交易行为或者后台运作中，可能因为技术系统的故障或者差错而影响交易的正常进行或者导致投资人的利益受到影响。这种技术风险可能来自基金管理人、登记机构、销售机构、银行间债券市场、证券交易所、证券登记结算机构、中央国债登记结算有限责任公司等等。</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（三）其他风险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1、技术风险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计算机、通讯系统、交易网络等技术保障系统或信息网络支持出现异常情况，可能导致基金的认购、申购和赎回无法按正常时限完成、登记系统瘫痪、核算系统无法按正常时限显示产生净值、基金的投资交易指令无法及时传输等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2、金融市场危机、行业竞争、代理机构违约、基金托管人违约等超出本基金管理人自身直接控制能力之外的风险，可能导致本基金或者基金份额持有人的利益受损；</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3、战争、自然灾害等不可抗力因素的出现，将会严重影响证券市场的运行，可能导致基金资产的损失；</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4、因人为因素而产生的风险、如内幕交易、欺诈行为等产生的风险；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5、对主要业务人员如基金经理的依赖而可能产生的风险；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6、其他意外导致的风险。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（四）本基金的特有风险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本基金基金合同在特定情况下可能终止，基金份额持有人面临基金合同终止的风险。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之日起三年后的对应自然日，若基金资产规模低于2亿元，基金合同应当按照基金合同约定的程序进行清算并终止，且不得通过召开基金持有人大会的方式延续。若届时的法律法规或中国证监会规定发生变化，上述终止规定被取消、更改或补充时，则本基金可以参照届时有效的法律法规或中国证监会规定执行。</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2、混合型基金存在的风险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本基金为混合型基金，资产配置策略对基金的投资业绩具有较大的影响。在类别资产配置中可能会由于市场环境、公司治理、制度建设等因素的不同影响，导致资产配置偏离优化水平，为组合绩效带来风险。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3、港股通机制下，港股通标的股票投资面临的风险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通过港股通机制投资于香港联合交易所（以下简称：“香港联交所”）上市的股票，但基金资产并非必然投资港股通标的股票。基金资产投资港股通标的股票，除与其他投资于内地市场股票的基金所面临的共同风险外，本基金还面临港股通机制下因投资环境、投资者结构、投资标的构成、市场制度、交易规则以及税收政策等差异所带来的特有风险，包括但不限于：</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（1）港股价格波动的风险。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港股市场实行T+0回转交易机制（即当日买入的股票，在交收前可以于当日卖出），同时对个股不设涨跌幅限制，每日涨跌幅空间相对较大；加之香港金融市场结构性产品和衍生品种类相对丰富以及做空机制的存在；港股股价受到意外事件影响可能表现出比A股更为剧烈的价格波动，本基金持有港股的价格波动风险可能相对较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（2）汇率风险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投资港股通标的股票，在交易时间内提交订单依据的港币买入参考汇率和卖出参考汇率，并不等于最终结算汇率。港股通交易日日终，中国证券登记结算有限责任公司进行净额换汇，将换汇成本按成交金额分摊至每笔交易，确定交易实际适用的结算汇率。故本基金承担港元对人民币汇率波动的风险，以及因汇率大幅波动引起账户透支或资金被额外占用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（3）港股通交易日风险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现行的港股通规则，只有境内、香港两地均为交易日且能够满足结算安排的交易日才为港股通交易日，本基金才开放申购赎回。因此会存在港股通交易日不连贯的情形（如内地市场因放假等原因休市而香港市场照常交易但非港股通交易日时，香港出现台风、黑色暴雨或者香港联交所规定的其他情形导致停市时，出现交易异常情况等交易所可能暂停提供部分或者全部港股通服务的情形时），从而导致本基金暂停申赎，或在内地开市香港休市的情形下，港股通不能正常交易，港股不能及时卖出，带来一定的流动性风险，并使得本基金所持有的港股在后续港股通交易日开市交易时有可能出现价格波动骤然增大，进而导致本基金所持有的港股在资产估值上出现波动增大的风险，进而影响基金份额净值出现较大波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（4）港股通额度限制带来的风险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现行的港股通规则，对港股通设有每日额度上限。本基金可能因为港股通市场总额度或每日额度不足，面临不能及时通过港股通进行买入交易的风险，进而可能错失投资机会。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（5）交收制度带来的基金流动性风险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港股通在证券交收时点上的交收安排，本基金在港股通交易日卖出股票，该港股通交易日后第2个港股通交易日才能完成清算交收，卖出的资金在该港股通交易日后第3个港股通交易日才能回到人民币资金账户。因此交收制度的不同以及港股通交易日的设定原因，本基金可能面临卖出港股后资金不能及时到账，而造成赎回款支付时间比正常情况延后而给投资人带来流动性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（6）港股通制度下对公司行为的处理规则带来的风险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现行的港股通规则，本基金因所持港股通股票权益分派、转换、上市公司被收购等情形或者异常情况，所取得的港股通股票以外的香港联交所上市证券，只能通过港股通卖出，但不得买入；因港股通股票权益分派或者转换等情形取得的香港联交所上市股票的认购权利在联交所上市的，可以通过港股通卖出，但不得行权；因港股通股票权益分派、转换或者上市公司被收购等所取得的非联交所上市证券，可以享有相关权益，但不得通过港股通买入或卖出。本基金存在因上述规则，投资收益得不到最大化甚至受损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4、非必然投资港股的风险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本基金港股通标的的投资比例为股票资产的0-50%，因此本基金可根据投资策略需要或不同配置地市场环境的变化，选择将部分基金资产投资于港股或选择不将基金资产投资于港股，基金资产并非必然投资港股。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5、投资股指期货的风险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（1）基差风险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在使用股指期货对冲市场风险的过程中，基金财产可能因为股指期货合约与标的指数价格波动不一致而遭受基差风险。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（2）系统性风险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组合现货的β可能不足或者过高，组合风险敞口过大，股指期货空头头寸不能完全对冲现货的风险，组合存在系统性暴露的风险。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（3）保证金风险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产品的期货头寸，如果未预留足够现金，在市场出现极端情况时，可能遭遇保证金不足而被强制平仓的风险。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（4）合约展期风险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组合持有的主力合约交割日临近，需要更换合约进行展期，如果合约的基差朝不利的方向变化或流动性不足，展期会面临风险。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6、投资资产支持证券的风险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资产支持证券的投资风险主要包括流动性风险、利率风险及评级风险等。由于资产支持证券的投资收益来自于基础资产产生的现金流或剩余权益，因此资产支持证券投资还面临基础资产特定原始权益人的破产风险及现金流预测风险等与基础资产相关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7、投资科创板股票的风险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（1）市场风险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科创板个股上市前五日无涨跌停限制，其后涨跌幅限制在正负20%以内，个股波动幅度较其他股票加大，市场风险随之上升。</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（2）流动性风险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科创板整体投资门槛较高，个人投资者必须满足交易满两年并且资金在50万以上才可参与，二级市场上个人投资者参与度相对较低。机构投资者在投资决策上具有一定的趋同性，将会造成市场的流动性风险。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（3）信用风险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科创板试点注册制，对经营状况不佳或财务数据造假的企业实行严格的退市制度，科创板个股存在退市风险。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（4）集中度风险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科创板为新设板块，初期可投标的较少，投资者容易集中投资于少量个股，市场可能存在高集中度状况，整体存在集中度风险。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（5）系统性风险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科创板企业均为市场认可度较高的科技创新企业，在企业经营及盈利模式上存在趋同，所以科创板个股相关性较高，市场表现不佳时，系统性风险将更为显著。</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（6）政策风险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国家对高新技术产业扶持力度及重视程度的变化会对科创板企业带来较大影响，国际经济形势变化对战略新兴产业及科创板个股也会带来政策影响。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8、投资存托凭证的风险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本基金的投资范围包括存托凭证，若投资可能面临中国存托凭证价格大幅波动甚至出现较大亏损的风险，以及与创新企业、境外发行人、中国存托凭证发行机制以及交易机制等相关的风险。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9、侧袋机制的相关风险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净值信息，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基金管理人将根据主袋账户运作情况合理确定申购政策，因此实施侧袋机制后主袋账户份额存在暂停申购的可能。</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10、投资北京证券交易所股票的风险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（1）上市公司经营风险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北交所上市企业主要为创新成长型企业，普遍具有规模小、对技术依赖性强、技术迭代快、议价能力不强等特点，或尚处于初步发展阶段，业务收入、现金流及盈利水平等具有较大不确定性。该类企业抗市场风险和行业风险能力较弱，存在较大经营风险，由此可能对基金净值造成不利影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（2）股价大幅波动风险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相较于沪/深证券交易所，北交所竞价交易设置了更宽的涨跌幅限制，股票上市交易首日不设涨跌幅限制，其后涨跌幅限制为30%，股价大幅波动的风险可能大于A股其他板块，由此可能导致基金净值较大幅度的波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（3）流动性风险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北交所股票投资门槛较高，二级市场上个人投资者参与度相对较低，机构投资者持有个股大量流通盘将导致个股流动性较差，若机构投资者在特定阶段对个股形成一致预期，由此可能导致基金面临无法及时变现及其他相关流动性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（4）转板风险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北交所上市公司在满足相关法律法规和证监会规定的基本上市条件并符合交易所规定的具体上市条件的，可申请转板上市。无论北交所上市公司是否转板成功，均可能引起基金净值波动。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（5）退市风险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北交所上市公司后续经营期间如果触及相关法律法规、证监会及交易所等规定的退市情形，可能面临被终止上市的风险，从而可能给基金净值带来不利影响。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（6）系统性风险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因北交所上市公司大部分为新兴产业公司，其商业模式、盈利风险、业绩波动等特征较为相似，基金难以通过分散投资降低投资风险，若股票价格同向波动，将引起基金净值波动。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同时，北交所上市公司平移自新三板精选层，从历史来看整体估值受政策阶段性影响较大，所以北交所个股估值相关性较高，政策空窗期或市场表现不佳时，系统性风险将更为显著。</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（7）集中度风险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北交所为新设交易所，初期可投资标的较少，投资者容易集中投资于少量个股，市场可能存在高集中度状况。</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（8）政策风险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国家对高新技术、专精特新企业扶持力度及重视程度的变化会对北交所上市公司带来较大影响，国际经济形势变化对专精特新产业及北交所个股也会带来政策影响。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（9）监管规则变化的风险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北交所相关法律、行政法规、部门规章、规范性文件和交易所业务规则，可能根据市场情况进行修订和完善，或者补充制定新的法律法规和业务规则，可能对基金投资运作产生影响，或导致基金投资运作相应调整变化。</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（五）流动性风险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1、基金申购、赎回安排</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投资人具体请参见基金合同“第六部分、基金份额的申购与赎回”和本招募说明书“八、基金份额的申购与赎回”，详细了解本基金的申购以及赎回安排。</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基金发生流动性风险时，基金管理人可以综合利用备用的流动性风险管理工具以减少或应对基金的流动性风险，投资人可能面临巨额赎回申请被延期办理、赎回申请被暂停接受、赎回款项被延缓支付、被收取短期赎回费、基金估值被暂停等风险。投资人应该了解自身的流动性偏好，并评估是否与本基金的流动性风险匹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b/>
          <w:kern w:val="0"/>
          <w:sz w:val="24"/>
        </w:rPr>
        <w:t>2、拟投资市场、行业及资产的流动性风险评估</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通过把握股票市场、债券市场、银行间市场的收益率变化，在控制风险的前提下为投资人获取稳健回报，且本基金并非主要投资于非流动性受限资产的股票、债券及不存在活跃市场需要采用估值技术确定公允价值的投资品种，因此本基金投资组合资产变现能力较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3、巨额赎回情形下的流动性风险管理措施</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基金出现巨额赎回且单个基金份额持有人的赎回申请超过上一开放日基金总份额的20%时，基金管理人认为支付该基金份额持有人的全部赎回申请有困难或认为因支付该基金份额持有人的全部赎回申请而进行的财产变现可能会对基金资产净值造成较大波动时，对于该基金份额持有人当日提出的赎回申请中超过上一开放日基金总份额20%部分（不含20%），基金管理人可以延期办理。对于未能赎回部分，单个基金份额持有人在提交赎回申请时可以选择延期赎回或取消赎回。选择延期赎回的，将自动转入下一个开放日继续赎回，延期的赎回申请与下一开放日赎回申请一并处理，无优先权并以下一开放日的基金份额净值为基础计算赎回金额，以此类推，直到全部赎回为止；选择取消赎回的，当日未获受理的部分赎回申请将被撤销。如该单个基金份额持有人在提交赎回申请时未作明确选择，该单个基金份额持有人未能赎回部分作自动延期赎回处理。部分延期赎回不受单笔赎回最低份额的限制。当出现巨额赎回时，基金转换中转出份额的申请的处理方式遵照相关的业务规则及相关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该基金份额持有人当日提出的赎回申请中未超过上一开放日基金总份额20%的部分（含20%），基金管理人可以采取全额赎回或部分延期赎回的方式，与其他基金份额持有人的赎回申请一并办理，并且对于该基金份额持有人和其他基金份额持有人的赎回申请采取相同的处理方式。对于前述未能赎回部分，基金份额持有人在提交赎回申请时可以选择延期赎回或取消赎回。选择延期赎回的，将自动转入下一个开放日继续赎回，延期的赎回申请与下一开放日赎回申请一并处理，无优先权并以下一开放日的基金份额净值为基础计算赎回金额，以此类推，直到全部赎回为止；选择取消赎回的，当日未获受理的部分赎回申请将被撤销。如该单个基金份额持有人在提交赎回申请时未作明确选择，该单个基金份额持有人未能赎回部分作自动延期赎回处理。部分延期赎回不受单笔赎回最低份额的限制。基金转换中转出份额的申请的处理方式遵照相关的业务规则及相关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b/>
          <w:kern w:val="0"/>
          <w:sz w:val="24"/>
        </w:rPr>
        <w:t>4、实施备用的流动性风险管理工具对基金投资人潜在影响的风险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特殊情形下，基金管理人可能会实施备用流动性风险管理工具，包括而不限于延期办理巨额赎回申请、暂停接受赎回申请、延缓支付赎回款项、收取短期赎回费、暂停基金估值以及中国证监会认定的其他措施。如果基金管理人实施备用流动性风险管理工具当中的一种或几种，基金投资人可能会面临赎回效率降低、赎回款延期到账、支付较高的赎回费用以及暂时无法获取基金净值等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某些情况下如果基金持有的某些投资品种的流动性不佳、交易量不足，将会导致证券交易的执行难度提高，例如该投资品种的买入成本提高，或者不能迅速、低成本地变现，从而对基金财产造成不利的影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的运作方式为契约型开放式，基金规模将随着基金投资人对基金份额的申购和赎回而不断波动。若由于基金出现巨额赎回，导致本基金的现金支付出现困难，或被迫在不适当的价格大量抛售证券，将会使基金资产净值受到不利影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7、实施侧袋机制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投资人具体请参见本招募说明书“十七、侧袋机制”，详细了解本基金侧袋机制的情形及程序。</w:t>
      </w:r>
    </w:p>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22" w:name="_Toc139637451"/>
      <w:r>
        <w:rPr>
          <w:rFonts w:ascii="宋体" w:hAnsi="宋体"/>
          <w:sz w:val="30"/>
        </w:rPr>
        <w:t>十九、基金合同的变更、终止与基金财产的清算</w:t>
      </w:r>
      <w:bookmarkEnd w:id="22"/>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（一）基金合同的变更</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变更基金合同涉及法律法规规定或基金合同约定应经基金份额持有人大会决议通过的事项的，应召开基金份额持有人大会决议通过。对于法律法规规定和基金合同约定的可不经基金份额持有人大会决议通过的事项，由基金管理人和基金托管人同意后变更并公告，并报中国证监会备案。</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2、关于《基金合同》变更的基金份额持有人大会决议自生效后方可执行，并自决议生效后依照《信息披露办法》的有关规定在规定媒介公告。若法律法规发生变化，则以变化后的规定为准。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（二）基金合同的终止事由</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有下列情形之一的，并在履行相关程序后，《基金合同》应当终止：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3、《基金合同》生效之日起三年后的对应自然日，基金资产规模低于2亿元的；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4、《基金合同》约定的其他情形；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5、相关法律法规和中国证监会规定的其他情况。</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（三）基金财产的清算</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1、基金财产清算小组：《基金合同》终止事由出现后，基金管理人组织基金财产清算小组并在中国证监会的监督下进行基金清算。</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3、在基金财产清算过程中，基金管理人和基金托管人应各自履行职责，继续忠实、勤勉、尽责地履行基金合同和托管协议规定的义务，维护基金份额持有人的合法权益。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4、基金财产清算小组职责：基金财产清算小组负责基金财产的保管、清理、估价、变现和分配。基金财产清算小组可以依法进行必要的民事活动。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5、基金财产清算程序：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（1）《基金合同》终止情形出现后，由基金财产清算小组统一接管基金；</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（2）对基金财产和债权债务进行清理和确认；</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（3）对基金财产进行估值和变现；</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（4）制作清算报告；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（5）聘请会计师事务所对清算报告进行外部审计，聘请律师事务所对清算报告出具法律意见书；</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（6）将清算报告报中国证监会备案并公告；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（7）对基金剩余财产进行分配。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6、基金财产清算的期限为6个月。因本基金所持证券的流动性受到限制而不能及时变现的，清算期限相应顺延。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（四）清算费用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清算费用是指基金财产清算小组在进行基金清算过程中发生的所有合理费用，清算费用由基金财产清算小组优先从基金剩余财产中支付。</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（五）基金财产清算剩余资产的分配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依据基金财产清算的分配方案，将基金财产清算后的全部剩余资产扣除基金财产清算费用、交纳所欠税款并清偿基金债务后，按基金份额持有人持有的基金份额比例进行分配。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（六）基金财产清算的公告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经符合《中华人民共和国证券法》规定的会计师事务所审计，律师事务所出具法律意见书后，由基金财产清算小组报中国证监会备案并公告，基金财产清算小组应当将清算报告登载在规定网站上，并将清算报告提示性公告登载在规定报刊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（七）基金财产清算账册及文件的保存</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基金财产清算账册及有关文件由基金托管人保存15年以上。</w:t>
      </w:r>
    </w:p>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23" w:name="_Toc139637452"/>
      <w:r>
        <w:rPr>
          <w:rFonts w:ascii="宋体" w:hAnsi="宋体"/>
          <w:sz w:val="30"/>
        </w:rPr>
        <w:t>二十、基金合同的内容摘要</w:t>
      </w:r>
      <w:bookmarkEnd w:id="23"/>
    </w:p>
    <w:p w:rsidR="00BE2C03" w:rsidRDefault="00160133">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b/>
          <w:kern w:val="0"/>
          <w:sz w:val="24"/>
        </w:rPr>
        <w:t>一、基金份额持有人、基金管理人和基金托管人的权利、义务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（一）基金管理人的权利与义务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1、根据《基金法》、《运作办法》及其他有关规定，基金管理人的权利包括但不限于：</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（2）自《基金合同》生效之日起，根据法律法规和《基金合同》独立运用并管理基金财产；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（3）依照《基金合同》收取基金管理费以及法律法规规定或中国证监会批准的其他费用；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（4）销售基金份额；</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（5）按照规定召集基金份额持有人大会；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（6）依据《基金合同》及有关法律规定监督基金托管人，如认为基金托管人违反了《基金合同》及国家有关法律规定，应呈报中国证监会和其他监管部门，并采取必要措施保护基金投资人的利益；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（7）在基金托管人更换时，提名新的基金托管人；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（8）选择、更换基金销售机构，对基金销售机构的相关行为进行监督和处理；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（9）担任或委托其他符合条件的机构担任基金登记机构办理基金登记业务并获得《基金合同》规定的费用；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（10）依据《基金合同》及有关法律规定决定基金收益的分配方案；</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（11）在《基金合同》约定的范围内，拒绝或暂停受理申购、赎回和转换申请；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（12）依照法律法规为基金的利益对被投资公司行使股东权利，为基金的利益行使因基金财产投资于证券/期货所产生的权利；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（13）在法律法规允许的前提下，为基金的利益依法为基金进行融资；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（14）以基金管理人的名义，代表基金份额持有人的利益行使诉讼权利或者实施其他法律行为；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（15）选择、更换律师事务所、会计师事务所、证券/期货经纪商或其他为基金提供服务的外部机构；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（16）在符合有关法律、法规的前提下，制订和调整有关基金认购、申购、赎回、转换、非交易过户、转托管等业务的规则；</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（17）法律法规及中国证监会规定的和《基金合同》约定的其他权利。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2、根据《基金法》、《运作办法》及其他有关规定，基金管理人的义务包括但不限于：</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（1）依法募集资金，办理或者委托经中国证监会认定的其他机构代为办理基金份额的发售、申购、赎回和登记事宜；</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（3）自《基金合同》生效之日起，以诚实信用、谨慎勤勉的原则管理和运用基金财产；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（4）配备足够的具有专业资格的人员进行基金投资分析、决策，以专业化的经营方式管理和运作基金财产；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（5）建立健全内部风险控制、监察与稽核、财务管理及人事管理等制度，保证所管理的基金财产和基金管理人的财产相互独立，对所管理的不同基金分别管理，分别记账，进行证券/期货投资；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（6）除依据《基金法》、《基金合同》及其他有关规定外，不得利用基金财产为自己及任何第三人谋取利益，不得委托第三人运作基金财产；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（7）依法接受基金托管人的监督；</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（8）采取适当合理的措施使计算基金份额认购、申购、赎回和注销价格的方法符合《基金合同》等法律文件的规定，按有关规定计算并公告基金净值信息，确定基金份额申购、赎回的价格；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（9）进行基金会计核算并编制基金财务会计报告；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（10）编制季度报告、中期报告和年度报告；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（11）严格按照《基金法》、《基金合同》及其他有关规定，履行信息披露及报告义务；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保守基金商业秘密，不泄露基金投资计划、投资意向等。除《基金法》、《基金合同》及其他有关法律法规或监管机构另有规定或要求外，在基金信息公开披露前应予保密，不向他人泄露，因审计、法律等外部专业顾问提供服务而向其提供的情况除外；</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（13）按《基金合同》的约定确定基金收益分配方案，及时向基金份额持有人分配基金收益；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（14）按规定受理申购与赎回申请，及时、足额支付赎回款项；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（15）依据《基金法》、《基金合同》及其他有关规定召集基金份额持有人大会或配合基金托管人、基金份额持有人依法召集基金份额持有人大会；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（16）按规定保存基金财产管理业务活动的会计账册、报表、记录和其他相关资料15年以上；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（18）组织并参加基金财产清算小组，参与基金财产的保管、清理、估价、变现和分配；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（19）面临解散、依法被撤销或者被依法宣告破产时，及时报告中国证监会并通知基金托管人；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（20）因违反《基金合同》导致基金财产的损失或损害基金份额持有人合法权益时，应当承担赔偿责任，其赔偿责任不因其退任而免除；</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（21）监督基金托管人按法律法规和《基金合同》规定履行自己的义务，基金托管人违反《基金合同》造成基金财产损失时，基金管理人应为基金份额持有人利益向基金托管人追偿；</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（22）当基金管理人将其义务委托第三方处理时，应当对第三方处理有关基金事务的行为承担责任；</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（23）以基金管理人名义，代表基金份额持有人利益行使诉讼权利或实施其他法律行为；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（24）基金管理人在募集期间未能达到基金的备案条件，《基金合同》不能生效，基金管理人承担全部募集费用，将已募集资金并加计银行同期活期存款利息（税后）在基金募集期结束后30日内退还基金认购人；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（25）执行生效的基金份额持有人大会的决议；</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（26）建立并保存基金份额持有人名册；</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（27）法律法规及中国证监会规定的和《基金合同》约定的其他义务。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（二）基金托管人的权利与义务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1、根据《基金法》、《运作办法》及其他有关规定，基金托管人的权利包括但不限于：</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（1）自《基金合同》生效之日起，依法律法规和《基金合同》的规定安全保管基金财产；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（2）依《基金合同》约定获得基金托管费以及法律法规规定或监管部门批准的其他费用；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（4）根据相关市场规则，为基金开设资金账户、证券账户等投资所需账户，为基金办理证券/期货交易资金清算；</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（5）提议召开或召集基金份额持有人大会；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（6）在基金管理人更换时，提名新的基金管理人；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（7）法律法规及中国证监会规定的和《基金合同》约定的其他权利。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2、根据《基金法》、《运作办法》及其他有关规定，基金托管人的义务包括但不限于：</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（1）以诚实信用、勤勉尽责的原则持有并安全保管基金财产；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（2）设立专门的基金托管部门，具有符合要求的营业场所，配备足够的、合格的熟悉基金托管业务的专职人员，负责基金财产托管事宜；</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（4）除依据《基金法》、《基金合同》及其他有关规定外，不得利用基金财产为自己及任何第三人谋取利益，不得委托第三人托管基金财产；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（5）保管由基金管理人代表基金签订的与基金有关的重大合同及有关凭证；</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（6）按规定开设基金财产的资金账户、证券账户等投资所需账户，按照《基金合同》的约定，根据基金管理人的投资指令，及时办理清算、交割事宜；</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保守基金商业秘密，除《基金法》、《基金合同》及其他有关法律法规或监管机构另有规定或要求外，在基金信息公开披露前予以保密，不得向他人泄露，因审计、法律等外部专业顾问提供服务而向其提供的情况除外；</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（8）复核、审查基金管理人计算的基金资产净值、基金份额净值、基金份额申购、赎回价格；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（9）办理与基金托管业务活动有关的信息披露事项；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（11）保存基金托管业务活动的记录、账册、报表和其他相关资料15年以上；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（12）建立并保存基金份额持有人名册；</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（13）按规定制作相关账册并与基金管理人核对；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（14）依据基金管理人的指令或有关规定向基金份额持有人支付基金收益和赎回款项；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（15）依据《基金法》、《基金合同》及其他有关规定，召集基金份额持有人大会或配合基金管理人、基金份额持有人依法召集基金份额持有人大会；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（16）按照法律法规和《基金合同》的规定监督基金管理人的投资运作；</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（17）参加基金财产清算小组，参与基金财产的保管、清理、估价、变现和分配；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（18）面临解散、依法被撤销或者被依法宣告破产时，及时报告中国证监会和银行业监督管理机构，并通知基金管理人；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（19）因违反《基金合同》导致基金财产损失时，应承担赔偿责任，其赔偿责任不因其退任而免除；</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（20）按规定监督基金管理人按法律法规和《基金合同》规定履行自己的义务，基金管理人因违反《基金合同》造成基金财产损失时，应为基金份额持有人利益向基金管理人追偿；</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（21）执行生效的基金份额持有人大会的决议；</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（22）法律法规及中国证监会规定的和《基金合同》约定的其他义务。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（三）基金份额持有人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投资人持有本基金基金份额的行为即视为对《基金合同》的承认和接受，基金投资人自依据《基金合同》取得基金份额，即成为本基金的基金份额持有人和《基金合同》的当事人，直至其不再持有本基金的基金份额。基金份额持有人作为《基金合同》当事人并不以在《基金合同》上书面签章或签字为必要条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每份基金份额具有同等的合法权益。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1、根据《基金法》、《运作办法》及其他有关规定，基金份额持有人的权利包括但不限于：</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（1）分享基金财产收益；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（2）参与分配清算后的剩余基金财产；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（3）依照法律法规及本基金合同的规定申请赎回或转让其持有的基金份额；</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（4）按照规定要求召开基金份额持有人大会或者召集基金份额持有人大会；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（5）出席或者委派代表出席基金份额持有人大会，对基金份额持有人大会审议事项行使表决权；</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（6）查阅或者复制公开披露的基金信息资料；</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（7）监督基金管理人的投资运作；</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（8）对基金管理人、基金托管人、基金服务机构损害其合法权益的行为依法提起诉讼或仲裁；</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（9）法律法规及中国证监会规定的和《基金合同》约定的其他权利。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2、根据《基金法》、《运作办法》及其他有关规定，基金份额持有人的义务包括但不限于：</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（1）认真阅读并遵守《基金合同》、招募说明书等信息披露文件；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（2）了解所投资基金产品，了解自身风险承受能力，自主判断基金的投资价值，自主做出投资决策，自行承担投资风险；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（3）关注基金信息披露，及时行使权利和履行义务；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（4）缴纳基金认购、申购款项及法律法规和《基金合同》所规定的费用；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（5）在其持有的基金份额范围内，承担基金亏损或者《基金合同》终止的有限责任；</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（6）不从事任何有损基金及其他《基金合同》当事人合法权益的活动；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（7）执行生效的基金份额持有人大会的决议；</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（8）返还在基金交易过程中因任何原因获得的不当得利；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（9）发起资金提供方认购的基金份额持有期限不少于3年；</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（10）法律法规及中国证监会规定的和《基金合同》约定的其他义务。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b/>
          <w:kern w:val="0"/>
          <w:sz w:val="24"/>
        </w:rPr>
        <w:t>二、基金份额持有人大会召集、议事及表决的程序和规则</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基金份额持有人大会由基金份额持有人组成，基金份额持有人的合法授权代表有权代表基金份额持有人出席会议并表决。基金份额持有人持有的每一基金份额拥有平等的投票权。</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本基金份额持有人大会不设日常机构。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若将来法律法规对基金份额持有人大会另有规定的，以届时有效的法律法规为准。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（一）召开事由</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1、除法律法规、中国证监会另有规定外，当出现或需要决定下列事由之一的，应当召开基金份额持有人大会：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（1）终止《基金合同》（基金合同另有规定的除外）；</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（2）更换基金管理人；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（3）更换基金托管人；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（4）转换基金运作方式；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（5）调整基金管理人、基金托管人的报酬标准；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（6）变更基金类别；</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（7）本基金与其他基金的合并；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（8）变更基金投资目标、范围或策略；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（9）变更基金份额持有人大会程序；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（10）基金管理人或基金托管人要求召开基金份额持有人大会；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（11）单独或合计持有本基金总份额10%以上（含10%）基金份额的基金份额持有人（以基金管理人收到提议当日的基金份额计算，下同）就同一事项书面要求召开基金份额持有人大会；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（12）对基金合同当事人权利和义务产生重大影响的其他事项；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（13）法律法规、《基金合同》或中国证监会规定的其他应当召开基金份额持有人大会的事项。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2、在不违反法律法规规定和基金合同约定的前提下，当出现以下情况可由基金管理人和基金托管人协商后修改，不需召开基金份额持有人大会：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（1）法律法规要求增加的基金费用的收取；</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法律法规和《基金合同》规定的范围内、且对基金份额持有人利益无实质性不利影响的前提下，调整本基金的申购费率，变更收费方式，调低赎回费率或除基金管理费、基金托管费之外的其他应由基金承担的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（3）因相应的法律法规发生变动而应当对《基金合同》进行修改；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（4）对《基金合同》的修改对基金份额持有人利益无实质性不利影响或修改不涉及《基金合同》当事人权利义务关系发生重大变化；</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（5）在对基金份额持有人利益无实质性不利影响的前提下，基金管理人、销售机构、登记机构调整有关基金认购、申购、赎回、转换、非交易过户、转托管等业务的规则；</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（6）在对基金份额持有人利益无实质性不利影响的前提下，基金推出新业务或服务；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（7）按照法律法规和《基金合同》规定不需召开基金份额持有人大会的其他情形。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（二）会议召集人及召集方式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1、除法律法规规定或《基金合同》另有约定外，基金份额持有人大会由基金管理人召集。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2、基金管理人未按规定召集或不能召集时，由基金托管人召集。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代表基金份额10%以上（含10%）的基金份额持有人就同一事项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6、基金份额持有人会议的召集人负责选择确定开会时间、地点、方式和权益登记日。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（三）召开基金份额持有人大会的通知时间、通知内容、通知方式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1、召开基金份额持有人大会，召集人应于会议召开前30日，在规定媒介公告。基金份额持有人大会不得就未经公告的事项进行表决。基金份额持有人大会通知应至少载明以下内容：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（1）会议召开的时间、地点和会议形式；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（2）会议拟审议的事项、议事程序和表决方式；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（3）有权出席基金份额持有人大会的基金份额持有人的权益登记日；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（4）授权委托证明的内容要求（包括但不限于代理人身份，代理权限和代理有效期限等）、送达时间和地点；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（5）会务常设联系人姓名及联系电话；</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（6）出席会议者必须准备的文件和必须履行的手续；</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（7）召集人需要通知的其他事项。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2、采取通讯开会方式并进行表决的情况下，由会议召集人决定在会议通知中说明本次基金份额持有人大会所采取的具体通讯方式、委托的公证机关及其联系方式和联系人、表决意见提交的截止时间和收取方式。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基金管理人或基金托管人拒不派代表对表决意见的计票进行监督的，不影响表决意见的计票效力。</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（四）基金份额持有人出席会议的方式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基金份额持有人大会可通过现场开会方式、通讯开会方式以及法律法规或监管机构允许的其他方式召开，会议的召开方式由会议召集人确定。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亲自出席会议者持有基金份额的有关证明文件、受托出席会议者出具的委托人持有基金份额的有关证明文件及委托人的代理投票授权委托证明及有关证明文件符合法律法规、《基金合同》和会议通知的规定，并且持有基金份额的凭证与基金管理人持有的登记资料相符；</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通讯开会系指按照本基金合同的相关规定以召集人通知的非现场方式（包括邮寄、网络、电话、短信或其他方式）进行表决，基金份额持有人将其对表决事项的投票以召集人通知载明的非现场方式在表决截止日以前送达至召集人指定的地址或系统。</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在同时符合以下条件时，通讯开会的方式视为有效：</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（1）会议召集人按《基金合同》约定公布会议通知后，在2个工作日内连续公布相关提示性公告；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基金份额持有人直接出具表决意见或授权他人代表出具表决意见；</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法律法规或监管机构允许的情况下，经会议通知载明，本基金亦可采用其他非现场方式或者以现场方式与非现场方式相结合的方式召开基金份额持有人大会，会议程序比照现场开会和通讯方式开会的程序进行。</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4、基金份额持有人授权他人代为出席会议并表决的，在法律法规或监管机构允许的情况下，授权方式可以采用书面、网络、电话、短信或其他方式，召集人接受的具体授权方式在会议通知中列明。</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（五）议事内容与程序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1、议事内容及提案权</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单独或合并持有权益登记日基金总份额10%（含10%）以上的基金份额持有人可以在基金份额持有人大会召集人发出会议通知前向大会召集人提交需由基金份额持有人大会审议表决的提案；也可以在会议通知发出后向大会召集人提交临时提案。</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基金份额持有人大会的召集人发出召开会议的通知后，如果需要对原有提案进行修改，应当在基金份额持有人大会召开前30日及时公告。否则，会议的召开日期应当顺延并保证至少与公告日期有30日的间隔期。</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基金份额持有人大会不得对未事先公告的议事内容进行表决。</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召集人对于基金管理人、基金托管人和基金份额持有人提交的临时提案进行审核，符合条件的应当在大会召开日30天前公告。大会召集人应当按照以下原则对提案进行审核：</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2、议事程序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现场开会的方式下，首先由大会主持人按照规定程序宣布会议议事程序及注意事项，确定和公布监票人，然后由大会主持人宣读提案，经讨论后进行表决，经合法执业的律师见证后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会议召集人应当制作出席会议人员的签名册。签名册载明参加会议人员姓名（或单位名称）、身份证明文件号码、持有或代表有表决权的基金份额、委托人姓名（或单位名称）和联系方式等事项。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在通讯开会的情况下，首先由召集人提前30日公布提案，在所通知的表决截止日期后5个工作日内在公证机关监督下由召集人统计全部有效表决，在公证机关监督下形成决议。</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（六）表决</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基金份额持有人所持每份基金份额有一票表决权。</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基金份额持有人大会决议分为一般决议和特别决议：</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特别决议，特别决议应当经参加大会的基金份额持有人或其代理人所持表决权的三分之二以上（含三分之二）通过方可做出。除法律法规另有规定、基金合同另有约定外，转换基金运作方式、更换基金管理人或者基金托管人、终止《基金合同》、本基金与其他基金合并以特别决议通过方为有效。</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基金份额持有人大会采取记名方式进行投票表决。</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通讯方式进行表决时，除非在计票时监督员及公证机关均认为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基金份额持有人大会的各项提案或同一项提案内并列的各项议题应当分开审议、逐项表决。</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在上述规则的前提下，具体规则以召集人发布的基金份额持有人大会通知为准。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（七）计票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（2）监票人应当在基金份额持有人表决后立即进行清点并由大会主持人当场公布计票结果。</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果会议主持人或基金份额持有人或代理人对于提交的表决结果有异议，可以在宣布表决结果后立即对所投票数要求进行重新清点。监票人应当进行重新清点，重新清点以一次为限。重新清点后，大会主持人应当当场公布重新清点结果。</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（4）计票过程应由公证机关予以公证，基金管理人或基金托管人拒不出席大会的，不影响计票的效力。</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（八）生效与公告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基金份额持有人大会的决议，召集人应当自通过之日起5日内报中国证监会备案。</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基金份额持有人大会的决议自表决通过之日起生效。</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自生效之日起依照《信息披露办法》的有关规定在规定媒介上公告。如果采用通讯方式进行表决，在公告基金份额持有人大会决议时，必须将公证书全文、公证机构、公证员姓名等一同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基金管理人、基金托管人和基金份额持有人应当执行生效的基金份额持有人大会的决议。生效的基金份额持有人大会决议对全体基金份额持有人、基金管理人、基金托管人均有约束力。</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（九）实施侧袋机制期间基金份额持有人大会的特殊约定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1、基金份额持有人行使提议权、召集权、提名权所需单独或合计代表相关基金份额10%以上（含10%）；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2、现场开会的到会者在权益登记日代表的基金份额不少于本基金在权益登记日相关基金份额的二分之一（含二分之一）；</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3、通讯开会的直接出具表决意见或授权他人代表出具表决意见的基金份额持有人所持有的基金份额不小于在权益登记日相关基金份额的二分之一（含二分之一）；</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5、现场开会由出席大会的基金份额持有人和代理人所持表决权的50%以上（含50%）选举产生一名基金份额持有人作为该次基金份额持有人大会的主持人；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6、一般决议须经参加大会的基金份额持有人或其代理人所持表决权的二分之一以上（含二分之一）通过；</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7、特别决议应当经参加大会的基金份额持有人或其代理人所持表决权的三分之二以上（含三分之二）通过。</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同一主侧袋账户内的每份基金份额具有平等的表决权。</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本部分关于基金份额持有人大会召开事由、召开条件、议事程序、表决条件等规定，凡是直接引用法律法规或监管规则的部分，如将来法律法规或监管规则修改导致相关内容被取消或变更的，基金管理人经与基金托管人根据新颁布的法律法规或监管规则协商一致报监管机关并履行适当程序后，可相应对本部分内容进行修改和调整，且无需召开基金份额持有人大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b/>
          <w:kern w:val="0"/>
          <w:sz w:val="24"/>
        </w:rPr>
        <w:t>三、基金合同解除和终止的事由、程序以及基金财产清算方式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（一）《基金合同》的变更</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变更基金合同涉及法律法规规定或本基金合同约定应经基金份额持有人大会决议通过的事项的，应召开基金份额持有人大会决议通过。对于法律法规规定和基金合同约定的可不经基金份额持有人大会决议通过的事项，由基金管理人和基金托管人同意后变更并公告，并报中国证监会备案。</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2、关于《基金合同》变更的基金份额持有人大会决议自生效后方可执行，并自决议生效后依照《信息披露办法》的有关规定在规定媒介公告。若法律法规发生变化，则以变化后的规定为准。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（二）《基金合同》的终止事由</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有下列情形之一的，并在履行相关程序后，《基金合同》应当终止：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3、《基金合同》生效之日起三年后的对应自然日，基金资产规模低于2亿元的；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4、《基金合同》约定的其他情形；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5、相关法律法规和中国证监会规定的其他情况。</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（三）基金财产的清算</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1、基金财产清算小组：《基金合同》终止事由出现时，基金管理人组织基金财产清算小组并在中国证监会的监督下进行基金清算。</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3、在基金财产清算过程中，基金管理人和基金托管人应各自履行职责，继续忠实、勤勉、尽责地履行基金合同和托管协议规定的义务，维护基金份额持有人的合法权益。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4、基金财产清算小组职责：基金财产清算小组负责基金财产的保管、清理、估价、变现和分配。基金财产清算小组可以依法进行必要的民事活动。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5、基金财产清算程序：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（1）《基金合同》终止情形出现时，由基金财产清算小组统一接管基金；</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（2）对基金财产和债权债务进行清理和确认；</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（3）对基金财产进行估值和变现；</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（4）制作清算报告；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（5）聘请会计师事务所对清算报告进行外部审计，聘请律师事务所对清算报告出具法律意见书；</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（6）将清算报告报中国证监会备案并公告；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（7）对基金剩余财产进行分配。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6、基金财产清算的期限为6个月。因本基金所持证券的流动性受到限制而不能及时变现的，清算期限相应顺延。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（四）清算费用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清算费用是指基金财产清算小组在进行基金清算过程中发生的所有合理费用，清算费用由基金财产清算小组优先从基金剩余财产中支付。</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（五）基金财产清算剩余资产的分配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依据基金财产清算的分配方案，将基金财产清算后的全部剩余资产扣除基金财产清算费用、交纳所欠税款并清偿基金债务后，按基金份额持有人持有的基金份额比例进行分配。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（六）基金财产清算的公告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经符合《中华人民共和国证券法》规定的会计师事务所审计，律师事务所出具法律意见书后，由基金财产清算小组报中国证监会备案并公告，基金财产清算小组应当将清算报告登载在规定网站上，并将清算报告提示性公告登载在规定报刊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（七）基金财产清算账册及文件的保存</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基金财产清算账册及有关文件由基金托管人保存15年以上。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b/>
          <w:kern w:val="0"/>
          <w:sz w:val="24"/>
        </w:rPr>
        <w:t>四、争议的处理和适用的法律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性的，对各方当事人均具有约束力，除非仲裁裁决另有规定，仲裁费用由败诉方承担。</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争议处理期间，基金合同当事人应恪守各自的职责，继续忠实、勤勉、尽责地履行基金合同和托管协议规定的义务，维护基金份额持有人的合法权益。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本基金合同受中国法律（为本基金合同之目的，不包括香港特别行政区、澳门特别行政区和台湾地区法律）管辖，并按其解释。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b/>
          <w:kern w:val="0"/>
          <w:sz w:val="24"/>
        </w:rPr>
        <w:t>五、基金合同存放地和投资人取得基金合同的方式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b/>
          <w:kern w:val="0"/>
          <w:sz w:val="24"/>
        </w:rPr>
        <w:t>《基金合同》可印制成册，供投资人在基金管理人、基金托管人、销售机构的办公场所和营业场所查阅。</w:t>
      </w:r>
    </w:p>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24" w:name="_Toc139637453"/>
      <w:r>
        <w:rPr>
          <w:rFonts w:ascii="宋体" w:hAnsi="宋体"/>
          <w:sz w:val="30"/>
        </w:rPr>
        <w:t>二十一、基金托管协议的内容摘要</w:t>
      </w:r>
      <w:bookmarkEnd w:id="24"/>
    </w:p>
    <w:p w:rsidR="00BE2C03" w:rsidRDefault="00160133">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b/>
          <w:kern w:val="0"/>
          <w:sz w:val="24"/>
        </w:rPr>
        <w:t>一、基金托管协议当事人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（一）基金管理人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名称：银华基金管理股份有限公司</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注册地址：深圳市福田区深南大道6008号特区报业大厦19层</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办公地址：北京市东城区东长安街1号东方广场东方经贸城C2办公楼15层</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邮政编码：100738</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法定代表人：王珠林</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成立日期：2001年5月28日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批准设立机关及批准设立文号：中国证监会证监基金字［2001］7号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组织形式：股份有限公司</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注册资本：2.222亿元人民币</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经营范围：基金募集、基金销售、资产管理、中国证监会许可的其他业务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（二）基金托管人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名称：中国农业银行股份有限公司</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注册地址：北京市东城区建国门内大街69号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办公地址：北京市西城区复兴门内大街28号凯晨世贸中心东座九层</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邮政编码：100031</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法定代表人：周慕冰</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成立时间：2009年1月15日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基金托管资格批准文号：中国证监会证监基字[1998]23号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批准设立机关和批准设立文号：中国银监会银监复[2009]13号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注册资本：34,998,303.4万元人民币</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券投资托管业务；代理开放式基金业务；电话银行、手机银行、网上银行业务；金融衍生产品交易业务；经国务院银行业监督管理机构等监管部门批准的其他业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b/>
          <w:kern w:val="0"/>
          <w:sz w:val="24"/>
        </w:rPr>
        <w:t>二、基金托管人对基金管理人的业务监督和核查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包括国内依法发行或上市的股票（包括中小板股票、创业板股票、存托凭证及其他经中国证监会核准上市的股票）、港股通标的股票、债券（包括国债、金融债券、企业债券、公司债券、央行票据、中期票据、短期融资券、超短期融资券、次级债券、地方政府债券、可转换公司债券及分离交易可转债、可交换债券以及其他中国证监会允许投资的债券）、资产支持证券、债券回购、银行存款（包括协议存款、定期存款及其他银行存款）、现金、权证、股指期货以及法律法规或中国证监会允许基金投资的其他金融工具（但须符合中国证监会的相关规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如法律法规或监管机构以后允许基金投资其他品种，基金管理人在履行适当程序后，可以将其纳入本基金的投资范围，其投资比例遵循届时有效的法律法规和相关规定。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组合比例为：股票资产占基金资产的比例为50%—95%（其中投资于港股通标的股票的比例占股票资产的0%-50%）。其余资产投资于债券、资产支持证券、债券回购、银行存款（包括协议存款、定期存款及其他银行存款）、现金、权证、股指期货等金融工具；权证投资不得超过基金资产净值的3%；每个交易日日终在扣除股指期货合约需缴纳的交易保证金后，现金或者到期日在一年以内的政府债券不低于基金资产净值的5%，其中，现金不包括结算备付金、存出保证金、应收申购款等。本基金将港股通标的股票投资的比例下限设为零，本基金可根据投资策略需要或不同配置地市场环境的变化，选择将部分基金资产投资于港股通标的股票或选择不将基金资产投资于港股通标的股票，基金资产并非必然投资港股通标的股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如果法律法规或中国证监会变更投资品种的投资比例限制，基金管理人在履行适当程序后，可以调整上述投资品种的投资比例。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（二）基金托管人根据有关法律法规的规定及基金合同的约定，对基金投资比例进行监督。基金托管人按下述比例和调整期限进行监督：</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（1）股票资产占基金资产的比例为50%—95%（其中投资于港股通标的股票的比例占股票资产的0%-50%）；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（2）本基金每个交易日日终在扣除股指期货合约需缴纳的交易保证金后，保持不低于基金资产净值5%的现金或到期日在一年以内的政府债券，其中，现金不包括结算备付金、存出保证金、应收申购款等；</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（3）本基金持有一家公司发行的证券（同一家公司在内地和香港同时上市的A+H股合计计算），其市值不超过基金资产净值的10%；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（4）本基金管理人管理的、且由本基金托管人托管的全部基金持有一家公司发行的证券（同一家公司在内地和香港同时上市的A+H股合计计算），不超过该证券的10%；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管理人管理的、且由本基金托管人托管的全部开放式基金（包括开放式基金以及处于开放期的定期开放基金）持有一家上市公司发行的可流通股票，不得超过该上市公司可流通股票的15%；本基金管理人管理的、且由本基金托管人托管的全部投资组合持有一家上市公司发行的可流通股票，不得超过该上市公司可流通股票的30%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（6）本基金持有的全部权证，其市值不得超过基金资产净值的3%；</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（7）本基金管理人管理的、且由本基金托管人托管的全部基金持有的同一权证，不得超过该权证的10%；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（8）本基金在任何交易日买入权证的总金额，不得超过上一交易日基金资产净值的0.5%；</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（9）本基金的基金资产总值不得超过基金资产净值的140%；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（10）本基金投资于同一原始权益人的各类资产支持证券的比例，不得超过基金资产净值的10%；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（11）本基金持有的全部资产支持证券，其市值不得超过基金资产净值的20%；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（12）本基金持有的同一(指同一信用级别)资产支持证券的比例，不得超过该资产支持证券规模的10%；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（13）本基金管理人管理的、且由本基金托管人托管的全部基金投资于同一原始权益人的各类资产支持证券，不得超过其各类资产支持证券合计规模的10%；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本基金主动投资于流动性受限资产的市值合计不得超过基金资产净值的15%；因证券市场波动、上市公司股票停牌、基金规模变动等基金管理人之外的因素致使基金不符合前述所规定比例限制的，基金管理人不得主动新增流动性受限资产的投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（15）本基金应投资于信用级别评级为BBB以上(含BBB)的资产支持证券。基金持有资产支持证券期间，如果其信用等级下降、不再符合投资标准，应在评级报告发布之日起3个月内予以全部卖出；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（16）本基金与私募类证券资管产品及中国证监会认定的其他主体为交易对手开展逆回购交易的，可接受质押品的资质要求应当与基金合同约定的投资范围保持一致；</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（17）基金财产参与股票发行申购，本基金所申报的金额不超过本基金的总资产，本基金所申报的股票数量不超过拟发行股票公司本次发行股票的总量；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（18）本基金进入全国银行间同业市场进行债券回购的资金余额不得超过基金资产净值的40%；本基金在全国银行间同业市场中的债券回购最长期限为1年，债券回购到期后不得展期；</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（19）本基金参与股指期货交易，则需遵守下列投资比例限制：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1）本基金在任何交易日日终，持有的买入股指期货合约价值，不得超过基金资产净值的10%；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在任何交易日日终，持有的买入股指期货合约价值与有价证券市值之和，不得超过基金资产净值的95%；其中，有价证券指股票、债券（不含到期日在一年以内的政府债券）、权证、资产支持证券、买入返售金融资产（不含质押式回购）等；</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3）本基金在任何交易日日终，持有的卖出股指期货合约价值不得超过基金持有的股票总市值的20%；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4）本基金所持有的股票市值和买入、卖出股指期货合约价值，合计（轧差计算）应当符合《基金合同》关于股票投资比例的有关约定；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5）本基金在任何交易日内交易（不包括平仓）的股指期货合约的成交金额不得超过上一交易日基金资产净值的20%；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（20）本基金投资存托凭证的比例限制依照境内上市交易的股票执行，与境内上市交易的股票合并计算；</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（21）法律法规及中国证监会规定的和《基金合同》约定的其他投资限制。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2）、（14）、（15）、（16）项外，因证券市场及期货市场波动、证券发行人合并、基金规模变动或港股通额度已满等基金管理人之外的因素致使基金投资比例不符合上述规定投资比例的，基金管理人应当在10个交易日内进行调整，但中国证监会规定的特殊情形除外。因港股通额度已满等基金管理人之外的因素致使不能在10个交易日内完成调整的，基金管理人应当在合理时间内进行调整。法律法规另有规定的，从其规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本基金投资流通受限证券，基金管理人应根据中国证监会相关规定进行投资。基金管理人应制订严格的投资决策流程和风险控制制度，防范流动性风险、法律风险和操作风险等各种风险。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对上述投资组合比例限制进行变更的，本基金在履行适当程序后，可相应调整投资比例限制规定。法律法规或监管部门取消上述限制，如适用于本基金，本基金在履行适当程序后，则本基金投资不再受相关限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（三）基金托管人根据有关法律法规的规定及基金合同的约定，对本协议第十五条第十一项基金投资禁止行为进行监督。</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法律法规有关基金从事的关联交易的规定，基金管理人和基金托管人应事先相互提供与本机构有控股关系的股东或与本机构有其他重大利害关系的公司名单及其更新，并以双方约定的方式提交，确保所提供的关联交易名单的真实性、完整性、全面性。基金管理人有责任保管真实、完整、全面的关联交易名单，并负责及时更新该名单。名单变更后基金管理人应及时发送基金托管人，基金托管人应及时确认已知名单的变更。如果基金托管人在运作中严格遵循了监督流程，基金管理人仍违规进行关联交易，并造成基金资产损失的，由基金管理人承担责任，基金托管人有权向中国证监会报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用基金财产买卖基金管理人、基金托管人及其控股股东、实际控制人或者与其有其他重大利害关系的公司发行的证券或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法律、行政法规或监管部门取消或变更上述限制，如适用于本基金，则本基金投资不再受相关限制或以变更后的规定为准。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托管人根据有关法律法规的规定及基金合同的约定，对基金管理人参与银行间债券市场进行监督。基金管理人应在基金投资运作之前向基金托管人提供经慎重选择的、本基金适用的银行间债券市场交易对手名单，并约定各交易对手所适用的交易结算方式。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3个工作日内与基金托管人协商解决。基金管理人收到基金托管人书面确认后，被确认调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或交易方式进行交易时，基金托管人应及时提醒基金管理人，基金托管人不承担由此造成的任何损失和责任。</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（五）基金托管人根据有关法律法规的规定及基金合同的约定，对基金管理人投资银行存款进行监督。</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基金投资银行存款的，基金管理人应根据法律法规的规定及基金合同的约定，建立投资制度、审慎选择存款银行，做好风险控制；并按照基金托管人的要求配合基金托管人完成相关业务办理。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（六）基金托管人根据有关法律法规的规定及基金合同的约定，对基金投资流通受限证券进行监督。</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1、基金投资流通受限证券，应遵守《关于基金投资非公开发行股票等流通受限证券有关问题的通知》等有关法律法规规定。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此处的流通受限证券与上文提及的流动性受限资产并不完全一致，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4.在投资流通受限证券之前，基金管理人应至少提前一个交易日向基金托管人提供有关流通受限证券的相关信息，具体应当包括但不限于如下文件（如有）：</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应保证基金投资的流通受限证券登记存管在本基金名下，并确保证基金托管人能够正常查询。因基金管理人原因产生的流通受限证券登记存管问题，造成基金财产的损失或基金托管人无法安全保管基金财产的责任与损失，由基金管理人承担。</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如果基金管理人未按照本协议的约定向基金托管人报送相关数据或者报送了虚假的数据，导致基金托管人不能履行托管人职责的，基金管理人应依法承担相应法律后果。除基金托管人未能依据基金合同及本协议履行职责外，因投资流通受限证券产生的损失，基金托管人按照本协议履行监督职责后不承担上述损失。</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基金托管人根据有关法律法规的规定及基金合同的约定，对基金资产净值计算、基金份额净值及基金份额累计净值计算、应收资金到账、基金费用开支及收入确定、基金收益分配、相关信息披露、基金宣传推介材料中登载基金业绩表现数据等进行监督和核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如果基金管理人未经基金托管人的审核擅自将不实的业绩表现数据印制在宣传推介材料上，则基金托管人对此不承担任何责任，并将在发现后立即报告中国证监会。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b/>
          <w:kern w:val="0"/>
          <w:sz w:val="24"/>
        </w:rPr>
        <w:t>三、基金管理人对基金托管人的业务核查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管理人对基金托管人履行托管职责情况进行核查，核查事项包括基金托管人安全保管基金财产、开设基金财产的资金账户和证券账户等投资所需账户、复核基金管理人计算的基金资产净值、基金份额净值和基金份额累计净值、根据基金管理人指令办理清算交收、相关信息披露和监督基金投资运作等行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b/>
          <w:kern w:val="0"/>
          <w:sz w:val="24"/>
        </w:rPr>
        <w:t>四、基金财产的保管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（一）基金财产保管的原则</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1、基金财产应独立于基金管理人、基金托管人的固有财产。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2、基金托管人应安全保管基金财产。未经基金管理人依据合法程序作出的合法合规指令，基金托管人不得自行运用、处分、分配基金的任何财产。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3、基金托管人按照规定开设基金财产的资金账户、证券账户等投资所需账户。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4、基金托管人对所托管的不同基金财产分别设置账户，独立核算，确保基金财产的完整与独立。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5、基金托管人根据基金管理人的指令，按照基金合同和本协议的约定保管基金财产，如有特殊情况双方可另行协商解决。</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7、除依据法律法规和基金合同的规定外，基金托管人不得委托第三人托管基金财产。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（二）基金募集期间及募集资金的验资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1、基金募集期间的资金应存于基金管理人在具有托管资格的商业银行开设的基金认购专户。该账户由基金管理人开立并管理。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募集期满或基金停止募集时，发起资金的认购金额、发起资金提供方及其承诺的持有期限符合《基金法》、《运作办法》等有关规定后，基金管理人应将属于基金财产的全部资金划入基金托管人开立的基金托管资金账户，同时在规定时间内，聘请符合《中华人民共和国证券法》规定的会计师事务所进行验资，出具验资报告，验资报告需对发起资金的持有人及其持有份额进行专门说明。出具的验资报告由参加验资的2名或2名以上中国注册会计师签字方为有效。</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3、若基金募集期限届满，未能达到基金合同生效的条件，由基金管理人按规定办理退款等事宜，基金托管人应提供充分协助。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（三）基金资金账户的开立和管理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1、基金托管人应负责本基金的资金账户的开设和管理。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应以本基金的名义在其营业机构开设本基金的资金账户，并根据基金管理人合法合规的指令办理资金收付。本基金的银行预留印鉴由基金托管人保管和使用。本基金的一切货币收支活动，包括但不限于投资、支付赎回金额、支付基金收益、收取申购款，均需通过本基金的资金账户进行。</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3、基金托管资金账户的开立和使用，限于满足开展本基金业务的需要。基金托管人和基金管理人不得假借本基金的名义开立任何其他银行账户；亦不得使用基金的任何账户进行本基金业务以外的活动。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4、基金托管资金账户的开立和管理应符合相关法律法规的有关规定。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5、在符合法律法规规定的条件下，基金托管人可以通过基金托管人专用账户办理基金资产的支付。</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（四）基金证券账户的开立和管理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1、基金托管人在中国证券登记结算有限责任公司上海分公司、深圳分公司为基金开立基金托管人与基金联名的证券账户。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2、基金证券账户的开立和使用，限于满足开展本基金业务的需要。基金托管人和基金管理人不得出借或未经对方同意擅自转让基金的任何证券账户，亦不得使用基金的任何账户进行本基金业务以外的活动。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以自身法人名义在中国证券登记结算有限责任公司开立结算备付金账户，并代表所托管的基金完成与中国证券登记结算有限责任公司的一级法人清算工作，基金管理人应予以积极协助。结算备付金的收取按照中国证券登记结算有限责任公司的规定执行。</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4、基金证券账户的开立和证券账户卡的保管由基金托管人负责，账户资产的管理和运用由基金管理人负责。</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本托管协议生效日之后，本基金被允许从事其他投资品种的投资业务，涉及相关账户的开设、使用的，按有关规定开设、使用并管理；若无相关规定，则基金托管人应当比照并遵守上述关于账户开设、使用的规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（五）债券托管专户的开设和管理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基金托管人根据中国人民银行、中央国债登记结算有限责任公司、银行间市场清算所股份有限公司的有关规定，以本基金的名义在中央国债登记结算有限责任公司、银行间市场清算所股份有限公司开立债券托管与结算账户，并代表基金进行银行间市场债券的结算。基金管理人和基金托管人同时代表基金签订全国银行间债券市场债券回购主协议。</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（六）其他账户的开立和管理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1、因业务发展需要而开立的其他账户，可以根据法律法规和基金合同的规定，在基金管理人和基金托管人商议后开立。新账户按有关规则使用并管理。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2、法律法规等有关规定对相关账户的开立和管理另有规定的，从其规定办理。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（七）基金财产投资的有关有价凭证等的保管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（八）与基金财产有关的重大合同的保管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15年，法律法规或监管部门另有规定的，从其规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对于无法取得二份以上的正本的，基金管理人应向基金托管人提供加盖授权业务章的合同传真件或复印件，未经双方协商一致，合同原件不得转移。</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b/>
          <w:kern w:val="0"/>
          <w:sz w:val="24"/>
        </w:rPr>
        <w:t>五、基金资产净值的计算及复核程序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（一）基金资产净值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基金资产净值是指基金资产总值减去负债后的净资产值。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基金份额净值是指基金资产净值除以基金份额总数后得到的基金份额的资产净值。基金份额净值的计算，精确到0.0001元，小数点后第5位四舍五入，由此产生的误差计入基金财产。国家另有规定的，从其规定。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基金管理人每个估值日计算基金资产净值及基金份额净值，经基金托管人复核，并按规定公告。如遇特殊情况，经中国证监会同意，可以适当延迟计算或公告。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（二）复核程序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每个估值日对基金资产进行估值后，将基金估值结果发送基金托管人，经基金托管人复核无误后，由基金管理人依据基金合同和相关法律法规的规定对外公布。但基金管理人根据法律法规或基金合同的规定暂停估值时除外。</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b/>
          <w:kern w:val="0"/>
          <w:sz w:val="24"/>
        </w:rPr>
        <w:t>六、基金份额持有人名册的登记与保管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持有人的名称和持有的基金份额。</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名册由登记机构编制，由基金管理人审核并提交基金托管人保管。基金托管人有权要求基金管理人提供任意一个交易日或全部交易日的基金份额持有人名册，基金管理人应及时提供，不得拖延或拒绝提供。</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应妥善保管基金份额持有人名册，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b/>
          <w:kern w:val="0"/>
          <w:sz w:val="24"/>
        </w:rPr>
        <w:t>七、争议解决方式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争议处理期间，双方当事人应恪守基金管理人和基金托管人职责，各自继续忠实、勤勉、尽责地履行基金合同和本托管协议规定的义务，维护基金份额持有人的合法权益。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本协议适用中华人民共和国法律（为本协议之目的，不包括香港特别行政区、澳门特别行政区和台湾地区法律）并从其解释。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b/>
          <w:kern w:val="0"/>
          <w:sz w:val="24"/>
        </w:rPr>
        <w:t>八、基金托管协议的变更、终止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（一）托管协议的变更程序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本协议双方当事人经协商一致，可以对协议进行修改。修改后的新协议，其内容不得与基金合同的规定有任何冲突。基金托管协议的变更报中国证监会备案。</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（二）基金托管协议终止的情形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2、基金托管人解散、依法被撤销、破产或由其他基金托管人接管基金资产；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3、基金管理人解散、依法被撤销、破产或由其他基金管理人接管基金管理权；</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4、发生法律法规、中国证监会或基金合同规定的终止事项。</w:t>
      </w:r>
    </w:p>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25" w:name="_Toc139637454"/>
      <w:r>
        <w:rPr>
          <w:rFonts w:ascii="宋体" w:hAnsi="宋体"/>
          <w:sz w:val="30"/>
        </w:rPr>
        <w:t>二十二、对基金份额持有人的服务</w:t>
      </w:r>
      <w:bookmarkEnd w:id="25"/>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基金管理人承诺为基金份额持有人提供一系列的服务，并将根据基金份额持有人的需要和市场的变化增加、修订这些服务项目。</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主要服务内容如下：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（一）资料寄送</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1.基金投资人对账单</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电子对账单服务采取定制方式，未定制此服务的投资人可通过公司官网、客服热线、官方微信公众号等途径自助查询账户情况。电子对账单按月度、季度和年度提供，包括微信、电子邮件等电子方式，基金份额持有人可根据需要自行选择。电子对账单会在当期结束后，5个工作日内发送。微信未绑定账户、取消关注、电子邮件地址不详的除外。</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由于投资者提供的电子邮箱不详、错误、未及时变更或通讯故障、延误、微信未绑定账户、取消关注等原因有可能造成对账单无法按时或准确送达。因上述原因无法正常收取对账单的投资者，敬请及时通过本基金管理人网站，或拨打客服热线查询、核对、变更您的预留联系方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（3）如需纸质对账单，敬请拨打客服热线获取。</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2.其他相关的信息资料</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（二）咨询、查询服务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1.信息查询密码</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基金查询密码用于投资人查询基金账户下的账户和交易信息。投资人请在知晓基金账号后，及时登录公司网站www.yhfund.com.cn修改基金查询密码，为充分保障投资人信息安全，新密码应为6-18位数字加字母组合。</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2.信息咨询、查询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投资人如果想了解认购、申购和赎回等交易情况、基金账户余额、基金产品与服务等信息，请拨打基金管理人客户服务中心电话或登录公司网站进行咨询、查询。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客户服务中心：400-678-3333、010-85186558</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公司网址：www.yhfund.com.cn</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（三）在线服务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基金管理人利用自己的线上平台定期或不定期为基金投资人提供投资资讯及基金经理（或投资顾问）交流服务。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（四）电子交易与服务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投资人可通过基金管理人的线上交易系统进行基金交易，详情请查看公司网站或相关公告。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（五）如本招募说明书存在任何您/贵机构无法理解的内容，请通过上述方式联系基金管理人。请确保投资前，您/贵机构已经全面理解了本招募说明书。</w:t>
      </w:r>
    </w:p>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26" w:name="_Toc139637455"/>
      <w:r>
        <w:rPr>
          <w:rFonts w:ascii="宋体" w:hAnsi="宋体"/>
          <w:sz w:val="30"/>
        </w:rPr>
        <w:t>二十三、其他应披露事项</w:t>
      </w:r>
      <w:bookmarkEnd w:id="26"/>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27" w:name="_Toc139637456"/>
      <w:r>
        <w:rPr>
          <w:rFonts w:ascii="宋体" w:hAnsi="宋体"/>
          <w:sz w:val="30"/>
        </w:rPr>
        <w:t>二十四、招募说明书的存放及查阅方式</w:t>
      </w:r>
      <w:bookmarkEnd w:id="27"/>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招募说明书公布后，应当分别存放在基金管理人、基金托管人和基金销售机构的住所，投资人可在办公时间免费查阅。在支付工本费后，可在合理时间内取得上述文件的复制件或复印件，但应以本基金招募说明书的正本为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投资人还可以直接登录基金管理人的网站（www.yhfund.com.cn）查阅和下载招募说明书。</w:t>
      </w:r>
    </w:p>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28" w:name="_Toc139637457"/>
      <w:r>
        <w:rPr>
          <w:rFonts w:ascii="宋体" w:hAnsi="宋体"/>
          <w:sz w:val="30"/>
        </w:rPr>
        <w:t>二十五、备查文件</w:t>
      </w:r>
      <w:bookmarkEnd w:id="28"/>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1.中国证监会准予银华裕利混合型发起式证券投资基金募集注册的文件；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2.《银华裕利混合型发起式证券投资基金基金合同》；</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3.《银华裕利混合型发起式证券投资基金托管协议》；</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4.关于申请募集银华裕利混合型发起式证券投资基金之法律意见；</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5.基金管理人业务资格批件和营业执照；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6.基金托管人业务资格批件和营业执照；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7.中国证监会要求的其他文件。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基金托管人业务资格批件和营业执照存放在基金托管人处；基金合同、托管协议及其余备查文件存放在基金管理人处。投资人可在营业时间免费到存放地点查阅，也可按工本费购买复印件。</w:t>
      </w:r>
    </w:p>
    <w:sectPr w:rsidR="00BE2C03">
      <w:footerReference w:type="default" r:id="rId12"/>
      <w:pgSz w:w="11920" w:h="16840"/>
      <w:pgMar w:top="1360" w:right="1580" w:bottom="280" w:left="1680" w:header="0" w:footer="11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A33" w:rsidRDefault="00160133">
      <w:r>
        <w:separator/>
      </w:r>
    </w:p>
  </w:endnote>
  <w:endnote w:type="continuationSeparator" w:id="0">
    <w:p w:rsidR="00D62A33" w:rsidRDefault="0016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C03" w:rsidRDefault="00E2611E">
    <w:pPr>
      <w:autoSpaceDE w:val="0"/>
      <w:autoSpaceDN w:val="0"/>
      <w:adjustRightInd w:val="0"/>
      <w:spacing w:line="200" w:lineRule="exact"/>
      <w:jc w:val="left"/>
      <w:rPr>
        <w:rFonts w:ascii="Times New Roman" w:hAnsi="Times New Roman"/>
        <w:kern w:val="0"/>
        <w:sz w:val="20"/>
        <w:szCs w:val="20"/>
      </w:rPr>
    </w:pPr>
    <w:r>
      <w:pict>
        <v:shapetype id="_x0000_t202" coordsize="21600,21600" o:spt="202" path="m,l,21600r21600,l21600,xe">
          <v:stroke joinstyle="miter"/>
          <v:path gradientshapeok="t" o:connecttype="rect"/>
        </v:shapetype>
        <v:shape id="_x0000_s2049" type="#_x0000_t202" style="position:absolute;margin-left:293.4pt;margin-top:782.6pt;width:21.6pt;height:11pt;z-index:-251658240;mso-position-horizontal-relative:page;mso-position-vertical-relative:page;mso-width-relative:page;mso-height-relative:page" o:allowincell="f" filled="f" stroked="f">
          <v:textbox inset="0,0,0,0">
            <w:txbxContent>
              <w:p w:rsidR="00BE2C03" w:rsidRDefault="00160133">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E2611E">
                  <w:rPr>
                    <w:rFonts w:ascii="Times New Roman" w:hAnsi="Times New Roman"/>
                    <w:noProof/>
                    <w:kern w:val="0"/>
                    <w:sz w:val="18"/>
                    <w:szCs w:val="18"/>
                  </w:rPr>
                  <w:t>4</w:t>
                </w:r>
                <w:r>
                  <w:rPr>
                    <w:rFonts w:ascii="Times New Roman" w:hAnsi="Times New Roman"/>
                    <w:kern w:val="0"/>
                    <w:sz w:val="18"/>
                    <w:szCs w:val="18"/>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C03" w:rsidRDefault="00E2611E">
    <w:pPr>
      <w:autoSpaceDE w:val="0"/>
      <w:autoSpaceDN w:val="0"/>
      <w:adjustRightInd w:val="0"/>
      <w:spacing w:line="200" w:lineRule="exact"/>
      <w:jc w:val="left"/>
      <w:rPr>
        <w:rFonts w:ascii="Times New Roman" w:hAnsi="Times New Roman"/>
        <w:kern w:val="0"/>
        <w:sz w:val="20"/>
        <w:szCs w:val="20"/>
      </w:rPr>
    </w:pPr>
    <w:r>
      <w:pict>
        <v:shapetype id="_x0000_t202" coordsize="21600,21600" o:spt="202" path="m,l,21600r21600,l21600,xe">
          <v:stroke joinstyle="miter"/>
          <v:path gradientshapeok="t" o:connecttype="rect"/>
        </v:shapetype>
        <v:shape id="_x0000_s2068" type="#_x0000_t202" style="position:absolute;margin-left:291.25pt;margin-top:773.85pt;width:33.5pt;height:11pt;z-index:-251657216;mso-position-horizontal-relative:page;mso-position-vertical-relative:page;mso-width-relative:page;mso-height-relative:page" o:allowincell="f" filled="f" stroked="f">
          <v:textbox inset="0,0,0,0">
            <w:txbxContent>
              <w:p w:rsidR="00BE2C03" w:rsidRDefault="00160133">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683F94">
                  <w:rPr>
                    <w:rFonts w:ascii="Times New Roman" w:hAnsi="Times New Roman"/>
                    <w:noProof/>
                    <w:kern w:val="0"/>
                    <w:sz w:val="18"/>
                    <w:szCs w:val="18"/>
                  </w:rPr>
                  <w:t>137</w:t>
                </w:r>
                <w:r>
                  <w:rPr>
                    <w:rFonts w:ascii="Times New Roman" w:hAnsi="Times New Roman"/>
                    <w:kern w:val="0"/>
                    <w:sz w:val="18"/>
                    <w:szCs w:val="18"/>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A33" w:rsidRDefault="00160133">
      <w:r>
        <w:separator/>
      </w:r>
    </w:p>
  </w:footnote>
  <w:footnote w:type="continuationSeparator" w:id="0">
    <w:p w:rsidR="00D62A33" w:rsidRDefault="00160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C03" w:rsidRDefault="00BE2C03">
    <w:pPr>
      <w:pStyle w:val="a8"/>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C03" w:rsidRDefault="00BE2C03">
    <w:pPr>
      <w:pStyle w:val="a8"/>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C03" w:rsidRDefault="00BE2C03">
    <w:pPr>
      <w:pStyle w:val="a8"/>
      <w:jc w:val="right"/>
    </w:pPr>
  </w:p>
  <w:p w:rsidR="00BE2C03" w:rsidRDefault="00BE2C03">
    <w:pPr>
      <w:pStyle w:val="a8"/>
      <w:jc w:val="right"/>
    </w:pPr>
  </w:p>
  <w:p w:rsidR="00BE2C03" w:rsidRDefault="00BE2C03">
    <w:pPr>
      <w:pStyle w:val="a8"/>
      <w:jc w:val="right"/>
    </w:pPr>
  </w:p>
  <w:p w:rsidR="00BE2C03" w:rsidRDefault="00BE2C03">
    <w:pPr>
      <w:pStyle w:val="a8"/>
      <w:jc w:val="right"/>
    </w:pPr>
  </w:p>
  <w:p w:rsidR="00BE2C03" w:rsidRDefault="00160133">
    <w:pPr>
      <w:pStyle w:val="a8"/>
      <w:jc w:val="right"/>
      <w:rPr>
        <w:rFonts w:ascii="宋体" w:hAnsi="宋体"/>
      </w:rPr>
    </w:pPr>
    <w:r>
      <w:rPr>
        <w:rFonts w:ascii="宋体" w:hAnsi="宋体" w:hint="eastAsia"/>
      </w:rPr>
      <w:t>银华裕利混合型发起式证券投资基金招募说明书更新(2023年第1号)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738" w:hanging="454"/>
      </w:pPr>
      <w:rPr>
        <w:rFonts w:hint="eastAsia"/>
      </w:rPr>
    </w:lvl>
    <w:lvl w:ilvl="2">
      <w:start w:val="1"/>
      <w:numFmt w:val="decimal"/>
      <w:pStyle w:val="XBRLTitle3"/>
      <w:suff w:val="space"/>
      <w:lvlText w:val="%1.%2.%3"/>
      <w:lvlJc w:val="left"/>
      <w:pPr>
        <w:ind w:left="624" w:hanging="624"/>
      </w:p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0C9"/>
    <w:rsid w:val="000002A2"/>
    <w:rsid w:val="00001EEA"/>
    <w:rsid w:val="00003EC9"/>
    <w:rsid w:val="0000560A"/>
    <w:rsid w:val="0001266E"/>
    <w:rsid w:val="00026A29"/>
    <w:rsid w:val="00026D00"/>
    <w:rsid w:val="00027C73"/>
    <w:rsid w:val="00030964"/>
    <w:rsid w:val="00030F3E"/>
    <w:rsid w:val="000368A2"/>
    <w:rsid w:val="00044AFD"/>
    <w:rsid w:val="00044E2C"/>
    <w:rsid w:val="000457B7"/>
    <w:rsid w:val="0004614E"/>
    <w:rsid w:val="00046212"/>
    <w:rsid w:val="000500B8"/>
    <w:rsid w:val="000506ED"/>
    <w:rsid w:val="000543D5"/>
    <w:rsid w:val="00055792"/>
    <w:rsid w:val="00055F52"/>
    <w:rsid w:val="00061C0D"/>
    <w:rsid w:val="0006212F"/>
    <w:rsid w:val="0006220F"/>
    <w:rsid w:val="000647B8"/>
    <w:rsid w:val="0006506B"/>
    <w:rsid w:val="0006551A"/>
    <w:rsid w:val="000700AC"/>
    <w:rsid w:val="000705A6"/>
    <w:rsid w:val="0007638A"/>
    <w:rsid w:val="00076B6E"/>
    <w:rsid w:val="000816EA"/>
    <w:rsid w:val="00081744"/>
    <w:rsid w:val="000828CE"/>
    <w:rsid w:val="000833CB"/>
    <w:rsid w:val="00083491"/>
    <w:rsid w:val="00084078"/>
    <w:rsid w:val="000843B3"/>
    <w:rsid w:val="000869C2"/>
    <w:rsid w:val="00087F4C"/>
    <w:rsid w:val="00090648"/>
    <w:rsid w:val="00094253"/>
    <w:rsid w:val="00095030"/>
    <w:rsid w:val="000A01A0"/>
    <w:rsid w:val="000A352B"/>
    <w:rsid w:val="000B0F8B"/>
    <w:rsid w:val="000B359E"/>
    <w:rsid w:val="000B3894"/>
    <w:rsid w:val="000B4E04"/>
    <w:rsid w:val="000C1E1E"/>
    <w:rsid w:val="000C38F1"/>
    <w:rsid w:val="000C5E77"/>
    <w:rsid w:val="000C68E9"/>
    <w:rsid w:val="000D0ADE"/>
    <w:rsid w:val="000D179E"/>
    <w:rsid w:val="000D66DC"/>
    <w:rsid w:val="000E1F3B"/>
    <w:rsid w:val="000E3AB4"/>
    <w:rsid w:val="000E7544"/>
    <w:rsid w:val="000F0C17"/>
    <w:rsid w:val="000F2904"/>
    <w:rsid w:val="000F34A1"/>
    <w:rsid w:val="000F5226"/>
    <w:rsid w:val="000F5583"/>
    <w:rsid w:val="000F6050"/>
    <w:rsid w:val="000F66FF"/>
    <w:rsid w:val="000F698D"/>
    <w:rsid w:val="000F7D42"/>
    <w:rsid w:val="001008A5"/>
    <w:rsid w:val="00100C86"/>
    <w:rsid w:val="0011339C"/>
    <w:rsid w:val="001135B0"/>
    <w:rsid w:val="00113FAA"/>
    <w:rsid w:val="00115AE5"/>
    <w:rsid w:val="00116489"/>
    <w:rsid w:val="0011648B"/>
    <w:rsid w:val="001166C1"/>
    <w:rsid w:val="00116874"/>
    <w:rsid w:val="001177A3"/>
    <w:rsid w:val="001240EB"/>
    <w:rsid w:val="0012443D"/>
    <w:rsid w:val="00127053"/>
    <w:rsid w:val="0013182D"/>
    <w:rsid w:val="00131CEE"/>
    <w:rsid w:val="0013315B"/>
    <w:rsid w:val="00134FCF"/>
    <w:rsid w:val="00135AD8"/>
    <w:rsid w:val="0013630D"/>
    <w:rsid w:val="001367F2"/>
    <w:rsid w:val="001412E8"/>
    <w:rsid w:val="0014250F"/>
    <w:rsid w:val="00144B52"/>
    <w:rsid w:val="00153D66"/>
    <w:rsid w:val="0015725E"/>
    <w:rsid w:val="00160133"/>
    <w:rsid w:val="00162F69"/>
    <w:rsid w:val="00164946"/>
    <w:rsid w:val="00165756"/>
    <w:rsid w:val="0017362C"/>
    <w:rsid w:val="0017392F"/>
    <w:rsid w:val="0018184C"/>
    <w:rsid w:val="0018198F"/>
    <w:rsid w:val="00181C62"/>
    <w:rsid w:val="00183642"/>
    <w:rsid w:val="001860C4"/>
    <w:rsid w:val="00186FAE"/>
    <w:rsid w:val="001917D4"/>
    <w:rsid w:val="001917FC"/>
    <w:rsid w:val="00191D7F"/>
    <w:rsid w:val="001925A2"/>
    <w:rsid w:val="00195218"/>
    <w:rsid w:val="00197A55"/>
    <w:rsid w:val="00197F7E"/>
    <w:rsid w:val="001A1623"/>
    <w:rsid w:val="001A2263"/>
    <w:rsid w:val="001B4531"/>
    <w:rsid w:val="001B5BDB"/>
    <w:rsid w:val="001B75F9"/>
    <w:rsid w:val="001C2B9E"/>
    <w:rsid w:val="001C38DA"/>
    <w:rsid w:val="001C7A48"/>
    <w:rsid w:val="001C7C12"/>
    <w:rsid w:val="001D2797"/>
    <w:rsid w:val="001D2B67"/>
    <w:rsid w:val="001D3730"/>
    <w:rsid w:val="001D4727"/>
    <w:rsid w:val="001D5665"/>
    <w:rsid w:val="001D61DC"/>
    <w:rsid w:val="001D6377"/>
    <w:rsid w:val="001D68A8"/>
    <w:rsid w:val="001D6B88"/>
    <w:rsid w:val="001D6C5F"/>
    <w:rsid w:val="001D7ECC"/>
    <w:rsid w:val="001E144C"/>
    <w:rsid w:val="001E25FD"/>
    <w:rsid w:val="001E2A4F"/>
    <w:rsid w:val="001E3F8F"/>
    <w:rsid w:val="001E5250"/>
    <w:rsid w:val="001F33EB"/>
    <w:rsid w:val="001F4DEA"/>
    <w:rsid w:val="001F4ECB"/>
    <w:rsid w:val="001F7353"/>
    <w:rsid w:val="00201F27"/>
    <w:rsid w:val="00201F9B"/>
    <w:rsid w:val="00203597"/>
    <w:rsid w:val="002076AC"/>
    <w:rsid w:val="00212B27"/>
    <w:rsid w:val="00212BBA"/>
    <w:rsid w:val="0021469C"/>
    <w:rsid w:val="00215523"/>
    <w:rsid w:val="00216962"/>
    <w:rsid w:val="00217CA4"/>
    <w:rsid w:val="00221112"/>
    <w:rsid w:val="00221A1B"/>
    <w:rsid w:val="002220A4"/>
    <w:rsid w:val="00223C19"/>
    <w:rsid w:val="00224421"/>
    <w:rsid w:val="00226503"/>
    <w:rsid w:val="00226A60"/>
    <w:rsid w:val="0023578C"/>
    <w:rsid w:val="00235AC5"/>
    <w:rsid w:val="002377E0"/>
    <w:rsid w:val="00240BB6"/>
    <w:rsid w:val="002432CA"/>
    <w:rsid w:val="00243D40"/>
    <w:rsid w:val="00245250"/>
    <w:rsid w:val="002477CB"/>
    <w:rsid w:val="00247BF6"/>
    <w:rsid w:val="00250A33"/>
    <w:rsid w:val="00251126"/>
    <w:rsid w:val="002524D2"/>
    <w:rsid w:val="00252802"/>
    <w:rsid w:val="00261A50"/>
    <w:rsid w:val="002634C3"/>
    <w:rsid w:val="00265B3A"/>
    <w:rsid w:val="0027052E"/>
    <w:rsid w:val="00271E9D"/>
    <w:rsid w:val="00271F7D"/>
    <w:rsid w:val="00274E85"/>
    <w:rsid w:val="002777F6"/>
    <w:rsid w:val="00277907"/>
    <w:rsid w:val="00280C42"/>
    <w:rsid w:val="00281B73"/>
    <w:rsid w:val="002833C9"/>
    <w:rsid w:val="00285E5C"/>
    <w:rsid w:val="00290B63"/>
    <w:rsid w:val="00290E73"/>
    <w:rsid w:val="00293415"/>
    <w:rsid w:val="00294689"/>
    <w:rsid w:val="0029539A"/>
    <w:rsid w:val="002A1A82"/>
    <w:rsid w:val="002A2FB0"/>
    <w:rsid w:val="002A4D32"/>
    <w:rsid w:val="002A5F87"/>
    <w:rsid w:val="002B017B"/>
    <w:rsid w:val="002B0DC0"/>
    <w:rsid w:val="002B2664"/>
    <w:rsid w:val="002B4E21"/>
    <w:rsid w:val="002B5000"/>
    <w:rsid w:val="002B78AA"/>
    <w:rsid w:val="002C383C"/>
    <w:rsid w:val="002D15BB"/>
    <w:rsid w:val="002D1C13"/>
    <w:rsid w:val="002D3109"/>
    <w:rsid w:val="002D378C"/>
    <w:rsid w:val="002D6413"/>
    <w:rsid w:val="002D6F14"/>
    <w:rsid w:val="002D74D5"/>
    <w:rsid w:val="002E4922"/>
    <w:rsid w:val="002E4B2C"/>
    <w:rsid w:val="002E5261"/>
    <w:rsid w:val="002F00BB"/>
    <w:rsid w:val="002F1DE7"/>
    <w:rsid w:val="002F2627"/>
    <w:rsid w:val="002F2748"/>
    <w:rsid w:val="002F6445"/>
    <w:rsid w:val="002F6580"/>
    <w:rsid w:val="002F6DE8"/>
    <w:rsid w:val="002F74D8"/>
    <w:rsid w:val="002F7C72"/>
    <w:rsid w:val="002F7EDC"/>
    <w:rsid w:val="003003A8"/>
    <w:rsid w:val="0030091B"/>
    <w:rsid w:val="00301E62"/>
    <w:rsid w:val="00304063"/>
    <w:rsid w:val="0030555F"/>
    <w:rsid w:val="00305A3B"/>
    <w:rsid w:val="00305BB4"/>
    <w:rsid w:val="0030645F"/>
    <w:rsid w:val="003117B9"/>
    <w:rsid w:val="00311C71"/>
    <w:rsid w:val="00313073"/>
    <w:rsid w:val="0031336C"/>
    <w:rsid w:val="0031339F"/>
    <w:rsid w:val="00313F3E"/>
    <w:rsid w:val="00323F65"/>
    <w:rsid w:val="00326147"/>
    <w:rsid w:val="0033051E"/>
    <w:rsid w:val="0033401D"/>
    <w:rsid w:val="00334456"/>
    <w:rsid w:val="00336150"/>
    <w:rsid w:val="00336E99"/>
    <w:rsid w:val="00342417"/>
    <w:rsid w:val="003454EC"/>
    <w:rsid w:val="00346537"/>
    <w:rsid w:val="00347B94"/>
    <w:rsid w:val="003527DD"/>
    <w:rsid w:val="003547A2"/>
    <w:rsid w:val="00355171"/>
    <w:rsid w:val="00362702"/>
    <w:rsid w:val="00362A37"/>
    <w:rsid w:val="00362CF0"/>
    <w:rsid w:val="00362D5D"/>
    <w:rsid w:val="00364AC5"/>
    <w:rsid w:val="00365D15"/>
    <w:rsid w:val="0036702F"/>
    <w:rsid w:val="00367F3A"/>
    <w:rsid w:val="00370BDF"/>
    <w:rsid w:val="00372FA2"/>
    <w:rsid w:val="003735E9"/>
    <w:rsid w:val="003739FE"/>
    <w:rsid w:val="003749D5"/>
    <w:rsid w:val="0038254F"/>
    <w:rsid w:val="003828EC"/>
    <w:rsid w:val="00383488"/>
    <w:rsid w:val="003843BB"/>
    <w:rsid w:val="003859DA"/>
    <w:rsid w:val="00386153"/>
    <w:rsid w:val="00386BA7"/>
    <w:rsid w:val="00390B48"/>
    <w:rsid w:val="0039213A"/>
    <w:rsid w:val="00393BF6"/>
    <w:rsid w:val="00395D4D"/>
    <w:rsid w:val="00396D64"/>
    <w:rsid w:val="00397A06"/>
    <w:rsid w:val="003A0FAF"/>
    <w:rsid w:val="003A38BD"/>
    <w:rsid w:val="003A38C8"/>
    <w:rsid w:val="003A6045"/>
    <w:rsid w:val="003A72D0"/>
    <w:rsid w:val="003B22FD"/>
    <w:rsid w:val="003B3004"/>
    <w:rsid w:val="003B3A47"/>
    <w:rsid w:val="003B4168"/>
    <w:rsid w:val="003B42FF"/>
    <w:rsid w:val="003B62D2"/>
    <w:rsid w:val="003B66A3"/>
    <w:rsid w:val="003C27F7"/>
    <w:rsid w:val="003C62C1"/>
    <w:rsid w:val="003C6FA4"/>
    <w:rsid w:val="003D0B3E"/>
    <w:rsid w:val="003D2352"/>
    <w:rsid w:val="003D3863"/>
    <w:rsid w:val="003D3D0A"/>
    <w:rsid w:val="003E0800"/>
    <w:rsid w:val="003E1584"/>
    <w:rsid w:val="003E33DE"/>
    <w:rsid w:val="003E3593"/>
    <w:rsid w:val="003E585F"/>
    <w:rsid w:val="003E6049"/>
    <w:rsid w:val="003E67F9"/>
    <w:rsid w:val="003F0D27"/>
    <w:rsid w:val="003F1C98"/>
    <w:rsid w:val="003F317C"/>
    <w:rsid w:val="003F4813"/>
    <w:rsid w:val="00406654"/>
    <w:rsid w:val="0041100B"/>
    <w:rsid w:val="004114F3"/>
    <w:rsid w:val="00412894"/>
    <w:rsid w:val="004130C3"/>
    <w:rsid w:val="00413E71"/>
    <w:rsid w:val="00421363"/>
    <w:rsid w:val="00421921"/>
    <w:rsid w:val="00422100"/>
    <w:rsid w:val="004254D3"/>
    <w:rsid w:val="0042746B"/>
    <w:rsid w:val="00433B69"/>
    <w:rsid w:val="004369AD"/>
    <w:rsid w:val="00436DD6"/>
    <w:rsid w:val="00444FB7"/>
    <w:rsid w:val="00450674"/>
    <w:rsid w:val="004533FE"/>
    <w:rsid w:val="00454715"/>
    <w:rsid w:val="00454D80"/>
    <w:rsid w:val="00456785"/>
    <w:rsid w:val="00462EB0"/>
    <w:rsid w:val="00463933"/>
    <w:rsid w:val="00464346"/>
    <w:rsid w:val="00470325"/>
    <w:rsid w:val="00470F42"/>
    <w:rsid w:val="00471605"/>
    <w:rsid w:val="0047297A"/>
    <w:rsid w:val="00474709"/>
    <w:rsid w:val="00480184"/>
    <w:rsid w:val="00480516"/>
    <w:rsid w:val="00480658"/>
    <w:rsid w:val="00480D3C"/>
    <w:rsid w:val="0048170B"/>
    <w:rsid w:val="00481BD4"/>
    <w:rsid w:val="00482AA2"/>
    <w:rsid w:val="0048579F"/>
    <w:rsid w:val="00487005"/>
    <w:rsid w:val="004901A7"/>
    <w:rsid w:val="004A084F"/>
    <w:rsid w:val="004A1FA1"/>
    <w:rsid w:val="004A3225"/>
    <w:rsid w:val="004A3F90"/>
    <w:rsid w:val="004A5F59"/>
    <w:rsid w:val="004A6F1F"/>
    <w:rsid w:val="004B17D8"/>
    <w:rsid w:val="004B2323"/>
    <w:rsid w:val="004B62C3"/>
    <w:rsid w:val="004C0BC8"/>
    <w:rsid w:val="004C461A"/>
    <w:rsid w:val="004C7D23"/>
    <w:rsid w:val="004D0783"/>
    <w:rsid w:val="004D11CB"/>
    <w:rsid w:val="004D49E3"/>
    <w:rsid w:val="004D7163"/>
    <w:rsid w:val="004E0366"/>
    <w:rsid w:val="004E1C30"/>
    <w:rsid w:val="004E3342"/>
    <w:rsid w:val="004E45AC"/>
    <w:rsid w:val="004E4672"/>
    <w:rsid w:val="004E5593"/>
    <w:rsid w:val="004E7A1E"/>
    <w:rsid w:val="004E7F1A"/>
    <w:rsid w:val="004F0352"/>
    <w:rsid w:val="004F0740"/>
    <w:rsid w:val="004F415D"/>
    <w:rsid w:val="004F4980"/>
    <w:rsid w:val="004F66F4"/>
    <w:rsid w:val="004F7710"/>
    <w:rsid w:val="00502A45"/>
    <w:rsid w:val="0050542C"/>
    <w:rsid w:val="00512DC1"/>
    <w:rsid w:val="00514C6B"/>
    <w:rsid w:val="005161EC"/>
    <w:rsid w:val="0051709F"/>
    <w:rsid w:val="005175EB"/>
    <w:rsid w:val="00521A18"/>
    <w:rsid w:val="00522079"/>
    <w:rsid w:val="00522622"/>
    <w:rsid w:val="0052450E"/>
    <w:rsid w:val="00525410"/>
    <w:rsid w:val="00530703"/>
    <w:rsid w:val="00530763"/>
    <w:rsid w:val="00534EFD"/>
    <w:rsid w:val="005362F2"/>
    <w:rsid w:val="00543B42"/>
    <w:rsid w:val="0054651A"/>
    <w:rsid w:val="00546EA9"/>
    <w:rsid w:val="005474CD"/>
    <w:rsid w:val="005501B7"/>
    <w:rsid w:val="0055152E"/>
    <w:rsid w:val="00552094"/>
    <w:rsid w:val="00553D73"/>
    <w:rsid w:val="00554BAF"/>
    <w:rsid w:val="00555A15"/>
    <w:rsid w:val="00556291"/>
    <w:rsid w:val="005569E4"/>
    <w:rsid w:val="00560E11"/>
    <w:rsid w:val="00561147"/>
    <w:rsid w:val="00561463"/>
    <w:rsid w:val="00561F8F"/>
    <w:rsid w:val="00563A0E"/>
    <w:rsid w:val="005647D0"/>
    <w:rsid w:val="00574C59"/>
    <w:rsid w:val="00576CE2"/>
    <w:rsid w:val="005770AC"/>
    <w:rsid w:val="00577C1A"/>
    <w:rsid w:val="00577FAA"/>
    <w:rsid w:val="0058041D"/>
    <w:rsid w:val="005826AA"/>
    <w:rsid w:val="00583CE7"/>
    <w:rsid w:val="005856E9"/>
    <w:rsid w:val="005867BB"/>
    <w:rsid w:val="00587452"/>
    <w:rsid w:val="00591C2A"/>
    <w:rsid w:val="00592461"/>
    <w:rsid w:val="00592539"/>
    <w:rsid w:val="00596A05"/>
    <w:rsid w:val="00596D6D"/>
    <w:rsid w:val="00597284"/>
    <w:rsid w:val="00597F8F"/>
    <w:rsid w:val="005A1EA2"/>
    <w:rsid w:val="005A2467"/>
    <w:rsid w:val="005A5858"/>
    <w:rsid w:val="005A6E51"/>
    <w:rsid w:val="005A7C7F"/>
    <w:rsid w:val="005A7D88"/>
    <w:rsid w:val="005B130C"/>
    <w:rsid w:val="005B14FF"/>
    <w:rsid w:val="005B3B71"/>
    <w:rsid w:val="005B4B1B"/>
    <w:rsid w:val="005B4F0F"/>
    <w:rsid w:val="005B58F0"/>
    <w:rsid w:val="005C0E62"/>
    <w:rsid w:val="005C0F5B"/>
    <w:rsid w:val="005C2E15"/>
    <w:rsid w:val="005C403B"/>
    <w:rsid w:val="005C63CB"/>
    <w:rsid w:val="005D0AA6"/>
    <w:rsid w:val="005D165F"/>
    <w:rsid w:val="005D21F3"/>
    <w:rsid w:val="005D3CF8"/>
    <w:rsid w:val="005D5D89"/>
    <w:rsid w:val="005E0D2D"/>
    <w:rsid w:val="005E3FB6"/>
    <w:rsid w:val="005F4583"/>
    <w:rsid w:val="005F4ABB"/>
    <w:rsid w:val="005F6066"/>
    <w:rsid w:val="005F6562"/>
    <w:rsid w:val="005F6C6D"/>
    <w:rsid w:val="005F6F09"/>
    <w:rsid w:val="005F787A"/>
    <w:rsid w:val="006019C7"/>
    <w:rsid w:val="00601E7B"/>
    <w:rsid w:val="00601EBC"/>
    <w:rsid w:val="00602D32"/>
    <w:rsid w:val="00603A84"/>
    <w:rsid w:val="006067DC"/>
    <w:rsid w:val="00610629"/>
    <w:rsid w:val="00611BCD"/>
    <w:rsid w:val="0061258D"/>
    <w:rsid w:val="006142EC"/>
    <w:rsid w:val="006155A5"/>
    <w:rsid w:val="00617824"/>
    <w:rsid w:val="00624214"/>
    <w:rsid w:val="00625419"/>
    <w:rsid w:val="00626D1A"/>
    <w:rsid w:val="00627429"/>
    <w:rsid w:val="0063089C"/>
    <w:rsid w:val="00632A91"/>
    <w:rsid w:val="006345E8"/>
    <w:rsid w:val="0063765C"/>
    <w:rsid w:val="006403CB"/>
    <w:rsid w:val="006410B0"/>
    <w:rsid w:val="0064139F"/>
    <w:rsid w:val="00641404"/>
    <w:rsid w:val="00641EDA"/>
    <w:rsid w:val="00642B97"/>
    <w:rsid w:val="00643680"/>
    <w:rsid w:val="00644453"/>
    <w:rsid w:val="00644B32"/>
    <w:rsid w:val="0064639A"/>
    <w:rsid w:val="0064646F"/>
    <w:rsid w:val="00646523"/>
    <w:rsid w:val="00647BDD"/>
    <w:rsid w:val="0065273C"/>
    <w:rsid w:val="00656A74"/>
    <w:rsid w:val="00657221"/>
    <w:rsid w:val="00661FC1"/>
    <w:rsid w:val="00663FED"/>
    <w:rsid w:val="00664B64"/>
    <w:rsid w:val="006678E3"/>
    <w:rsid w:val="00667A9C"/>
    <w:rsid w:val="006712E8"/>
    <w:rsid w:val="00677DA7"/>
    <w:rsid w:val="00680212"/>
    <w:rsid w:val="00680C90"/>
    <w:rsid w:val="00681036"/>
    <w:rsid w:val="006823AD"/>
    <w:rsid w:val="00682C29"/>
    <w:rsid w:val="00683F94"/>
    <w:rsid w:val="00685872"/>
    <w:rsid w:val="00685AD7"/>
    <w:rsid w:val="00691963"/>
    <w:rsid w:val="00692124"/>
    <w:rsid w:val="00692D96"/>
    <w:rsid w:val="00693C96"/>
    <w:rsid w:val="00696339"/>
    <w:rsid w:val="00696982"/>
    <w:rsid w:val="006A3F85"/>
    <w:rsid w:val="006A48FA"/>
    <w:rsid w:val="006A56F1"/>
    <w:rsid w:val="006A6E5C"/>
    <w:rsid w:val="006B0972"/>
    <w:rsid w:val="006B3153"/>
    <w:rsid w:val="006B5871"/>
    <w:rsid w:val="006B6BB1"/>
    <w:rsid w:val="006B7212"/>
    <w:rsid w:val="006C14C3"/>
    <w:rsid w:val="006C4B6F"/>
    <w:rsid w:val="006C589D"/>
    <w:rsid w:val="006C769C"/>
    <w:rsid w:val="006C7A95"/>
    <w:rsid w:val="006D11E8"/>
    <w:rsid w:val="006D4B0E"/>
    <w:rsid w:val="006D753C"/>
    <w:rsid w:val="006E0A00"/>
    <w:rsid w:val="006E306D"/>
    <w:rsid w:val="006E4BEC"/>
    <w:rsid w:val="006E6968"/>
    <w:rsid w:val="006F04C6"/>
    <w:rsid w:val="006F08A0"/>
    <w:rsid w:val="006F2A97"/>
    <w:rsid w:val="006F7AD7"/>
    <w:rsid w:val="00702627"/>
    <w:rsid w:val="0070359F"/>
    <w:rsid w:val="0070464C"/>
    <w:rsid w:val="00705474"/>
    <w:rsid w:val="00705B46"/>
    <w:rsid w:val="007076B2"/>
    <w:rsid w:val="00711BBB"/>
    <w:rsid w:val="0071340A"/>
    <w:rsid w:val="00713FC7"/>
    <w:rsid w:val="00716FD1"/>
    <w:rsid w:val="00720D0F"/>
    <w:rsid w:val="007218A9"/>
    <w:rsid w:val="0072241C"/>
    <w:rsid w:val="007245A5"/>
    <w:rsid w:val="00731628"/>
    <w:rsid w:val="00734108"/>
    <w:rsid w:val="007343AD"/>
    <w:rsid w:val="0073448D"/>
    <w:rsid w:val="00735087"/>
    <w:rsid w:val="00736FA0"/>
    <w:rsid w:val="0074053E"/>
    <w:rsid w:val="0075000E"/>
    <w:rsid w:val="00752156"/>
    <w:rsid w:val="00753A7A"/>
    <w:rsid w:val="00756E77"/>
    <w:rsid w:val="007577C2"/>
    <w:rsid w:val="0076038F"/>
    <w:rsid w:val="00760D77"/>
    <w:rsid w:val="007617E5"/>
    <w:rsid w:val="0077124E"/>
    <w:rsid w:val="00772FA7"/>
    <w:rsid w:val="0077578C"/>
    <w:rsid w:val="00781ACA"/>
    <w:rsid w:val="007823CF"/>
    <w:rsid w:val="00783E35"/>
    <w:rsid w:val="00784F67"/>
    <w:rsid w:val="00786754"/>
    <w:rsid w:val="00786D49"/>
    <w:rsid w:val="00787061"/>
    <w:rsid w:val="00790F0A"/>
    <w:rsid w:val="00790F5E"/>
    <w:rsid w:val="007927A6"/>
    <w:rsid w:val="00797F6E"/>
    <w:rsid w:val="007A1F4C"/>
    <w:rsid w:val="007A53F8"/>
    <w:rsid w:val="007B05BD"/>
    <w:rsid w:val="007B31A5"/>
    <w:rsid w:val="007B3327"/>
    <w:rsid w:val="007B3533"/>
    <w:rsid w:val="007B4996"/>
    <w:rsid w:val="007B6926"/>
    <w:rsid w:val="007B6FA3"/>
    <w:rsid w:val="007B705D"/>
    <w:rsid w:val="007C5764"/>
    <w:rsid w:val="007C61D0"/>
    <w:rsid w:val="007C6FAA"/>
    <w:rsid w:val="007C768F"/>
    <w:rsid w:val="007D251F"/>
    <w:rsid w:val="007D4FA2"/>
    <w:rsid w:val="007E0874"/>
    <w:rsid w:val="007E0FAD"/>
    <w:rsid w:val="007E60E9"/>
    <w:rsid w:val="007E63F3"/>
    <w:rsid w:val="007E6F5A"/>
    <w:rsid w:val="007F0916"/>
    <w:rsid w:val="007F1E7D"/>
    <w:rsid w:val="007F2A79"/>
    <w:rsid w:val="007F3026"/>
    <w:rsid w:val="007F42DD"/>
    <w:rsid w:val="007F4E0F"/>
    <w:rsid w:val="007F77CA"/>
    <w:rsid w:val="008011ED"/>
    <w:rsid w:val="00801636"/>
    <w:rsid w:val="00803935"/>
    <w:rsid w:val="008045D0"/>
    <w:rsid w:val="008059B8"/>
    <w:rsid w:val="00810333"/>
    <w:rsid w:val="0081415C"/>
    <w:rsid w:val="0081590D"/>
    <w:rsid w:val="00815E57"/>
    <w:rsid w:val="008166F5"/>
    <w:rsid w:val="0081677E"/>
    <w:rsid w:val="00817467"/>
    <w:rsid w:val="0082043E"/>
    <w:rsid w:val="00822905"/>
    <w:rsid w:val="0082299E"/>
    <w:rsid w:val="00827CD1"/>
    <w:rsid w:val="00832164"/>
    <w:rsid w:val="00832F53"/>
    <w:rsid w:val="00834003"/>
    <w:rsid w:val="0083455F"/>
    <w:rsid w:val="00834EA0"/>
    <w:rsid w:val="00843042"/>
    <w:rsid w:val="00843C37"/>
    <w:rsid w:val="00844886"/>
    <w:rsid w:val="00844C2D"/>
    <w:rsid w:val="00846D68"/>
    <w:rsid w:val="008518E5"/>
    <w:rsid w:val="00852B15"/>
    <w:rsid w:val="00856135"/>
    <w:rsid w:val="00857A96"/>
    <w:rsid w:val="00861FE5"/>
    <w:rsid w:val="0086376D"/>
    <w:rsid w:val="008703C2"/>
    <w:rsid w:val="0087209F"/>
    <w:rsid w:val="008806CC"/>
    <w:rsid w:val="008849E6"/>
    <w:rsid w:val="0088513E"/>
    <w:rsid w:val="00886300"/>
    <w:rsid w:val="0089099F"/>
    <w:rsid w:val="00890AAF"/>
    <w:rsid w:val="00892F7A"/>
    <w:rsid w:val="00894CEB"/>
    <w:rsid w:val="00896A62"/>
    <w:rsid w:val="00897B88"/>
    <w:rsid w:val="008A113D"/>
    <w:rsid w:val="008A678B"/>
    <w:rsid w:val="008B0034"/>
    <w:rsid w:val="008B0702"/>
    <w:rsid w:val="008B2397"/>
    <w:rsid w:val="008B33B5"/>
    <w:rsid w:val="008B3CD6"/>
    <w:rsid w:val="008B6003"/>
    <w:rsid w:val="008B691D"/>
    <w:rsid w:val="008C4D11"/>
    <w:rsid w:val="008D54FA"/>
    <w:rsid w:val="008D5C05"/>
    <w:rsid w:val="008D6490"/>
    <w:rsid w:val="008D6FFD"/>
    <w:rsid w:val="008E1191"/>
    <w:rsid w:val="008E342E"/>
    <w:rsid w:val="008E4D9C"/>
    <w:rsid w:val="008E566D"/>
    <w:rsid w:val="008E588C"/>
    <w:rsid w:val="008F52D9"/>
    <w:rsid w:val="008F6BC6"/>
    <w:rsid w:val="00902B4C"/>
    <w:rsid w:val="00903FC5"/>
    <w:rsid w:val="0090403F"/>
    <w:rsid w:val="009071FF"/>
    <w:rsid w:val="009108DB"/>
    <w:rsid w:val="009112EB"/>
    <w:rsid w:val="00913191"/>
    <w:rsid w:val="009131F2"/>
    <w:rsid w:val="00916431"/>
    <w:rsid w:val="00917DBE"/>
    <w:rsid w:val="0092605A"/>
    <w:rsid w:val="0092689A"/>
    <w:rsid w:val="0093228E"/>
    <w:rsid w:val="009325E1"/>
    <w:rsid w:val="00933602"/>
    <w:rsid w:val="009338B2"/>
    <w:rsid w:val="009351EF"/>
    <w:rsid w:val="0093698F"/>
    <w:rsid w:val="00940914"/>
    <w:rsid w:val="009409E8"/>
    <w:rsid w:val="00942250"/>
    <w:rsid w:val="00942706"/>
    <w:rsid w:val="00942E51"/>
    <w:rsid w:val="00946A6A"/>
    <w:rsid w:val="00947EB7"/>
    <w:rsid w:val="0095056B"/>
    <w:rsid w:val="00951FC3"/>
    <w:rsid w:val="009520BD"/>
    <w:rsid w:val="00952B29"/>
    <w:rsid w:val="00953DBA"/>
    <w:rsid w:val="00954137"/>
    <w:rsid w:val="00955882"/>
    <w:rsid w:val="00955ABF"/>
    <w:rsid w:val="00956F74"/>
    <w:rsid w:val="00956F84"/>
    <w:rsid w:val="009575A0"/>
    <w:rsid w:val="00957C6C"/>
    <w:rsid w:val="00960AA2"/>
    <w:rsid w:val="009649DC"/>
    <w:rsid w:val="00966EB2"/>
    <w:rsid w:val="00970C67"/>
    <w:rsid w:val="00974456"/>
    <w:rsid w:val="00991483"/>
    <w:rsid w:val="0099296D"/>
    <w:rsid w:val="009935AA"/>
    <w:rsid w:val="00993F94"/>
    <w:rsid w:val="009951B2"/>
    <w:rsid w:val="009A039C"/>
    <w:rsid w:val="009A2859"/>
    <w:rsid w:val="009A4E90"/>
    <w:rsid w:val="009A50B8"/>
    <w:rsid w:val="009A737B"/>
    <w:rsid w:val="009B1823"/>
    <w:rsid w:val="009B406F"/>
    <w:rsid w:val="009B443A"/>
    <w:rsid w:val="009B4D09"/>
    <w:rsid w:val="009B6DD1"/>
    <w:rsid w:val="009C1332"/>
    <w:rsid w:val="009C4A4F"/>
    <w:rsid w:val="009C6D34"/>
    <w:rsid w:val="009D2E97"/>
    <w:rsid w:val="009D328E"/>
    <w:rsid w:val="009D3438"/>
    <w:rsid w:val="009D3B88"/>
    <w:rsid w:val="009D40B6"/>
    <w:rsid w:val="009D4D3A"/>
    <w:rsid w:val="009D7AD4"/>
    <w:rsid w:val="009E1231"/>
    <w:rsid w:val="009E1A57"/>
    <w:rsid w:val="009E36CA"/>
    <w:rsid w:val="009E4B6B"/>
    <w:rsid w:val="009E6470"/>
    <w:rsid w:val="009E7175"/>
    <w:rsid w:val="009F08CB"/>
    <w:rsid w:val="009F1E5E"/>
    <w:rsid w:val="009F497B"/>
    <w:rsid w:val="009F5331"/>
    <w:rsid w:val="009F6453"/>
    <w:rsid w:val="009F6AD6"/>
    <w:rsid w:val="009F6F30"/>
    <w:rsid w:val="009F7BFB"/>
    <w:rsid w:val="00A0081F"/>
    <w:rsid w:val="00A01B61"/>
    <w:rsid w:val="00A03BCB"/>
    <w:rsid w:val="00A048F3"/>
    <w:rsid w:val="00A04CA6"/>
    <w:rsid w:val="00A052DD"/>
    <w:rsid w:val="00A06E6F"/>
    <w:rsid w:val="00A12A49"/>
    <w:rsid w:val="00A135C4"/>
    <w:rsid w:val="00A13CB5"/>
    <w:rsid w:val="00A13FEC"/>
    <w:rsid w:val="00A200C3"/>
    <w:rsid w:val="00A21103"/>
    <w:rsid w:val="00A21E3C"/>
    <w:rsid w:val="00A23419"/>
    <w:rsid w:val="00A24BBD"/>
    <w:rsid w:val="00A26D62"/>
    <w:rsid w:val="00A27D2E"/>
    <w:rsid w:val="00A30D78"/>
    <w:rsid w:val="00A31032"/>
    <w:rsid w:val="00A31CCF"/>
    <w:rsid w:val="00A32598"/>
    <w:rsid w:val="00A33EF8"/>
    <w:rsid w:val="00A3432E"/>
    <w:rsid w:val="00A40DFB"/>
    <w:rsid w:val="00A435BF"/>
    <w:rsid w:val="00A448B0"/>
    <w:rsid w:val="00A46981"/>
    <w:rsid w:val="00A5210B"/>
    <w:rsid w:val="00A524EC"/>
    <w:rsid w:val="00A52F4A"/>
    <w:rsid w:val="00A531D6"/>
    <w:rsid w:val="00A54346"/>
    <w:rsid w:val="00A55211"/>
    <w:rsid w:val="00A569C9"/>
    <w:rsid w:val="00A57E0C"/>
    <w:rsid w:val="00A6039D"/>
    <w:rsid w:val="00A631B5"/>
    <w:rsid w:val="00A63351"/>
    <w:rsid w:val="00A6487D"/>
    <w:rsid w:val="00A65DF5"/>
    <w:rsid w:val="00A66D3E"/>
    <w:rsid w:val="00A676CE"/>
    <w:rsid w:val="00A7001C"/>
    <w:rsid w:val="00A70A43"/>
    <w:rsid w:val="00A75807"/>
    <w:rsid w:val="00A77913"/>
    <w:rsid w:val="00A8209D"/>
    <w:rsid w:val="00A82740"/>
    <w:rsid w:val="00A860C9"/>
    <w:rsid w:val="00A9137F"/>
    <w:rsid w:val="00A9483B"/>
    <w:rsid w:val="00A94F2C"/>
    <w:rsid w:val="00A972E1"/>
    <w:rsid w:val="00AA3F8C"/>
    <w:rsid w:val="00AA6E6B"/>
    <w:rsid w:val="00AB3052"/>
    <w:rsid w:val="00AB4248"/>
    <w:rsid w:val="00AB4520"/>
    <w:rsid w:val="00AB572D"/>
    <w:rsid w:val="00AB5A86"/>
    <w:rsid w:val="00AB6170"/>
    <w:rsid w:val="00AB707C"/>
    <w:rsid w:val="00AC0B37"/>
    <w:rsid w:val="00AC2185"/>
    <w:rsid w:val="00AC3068"/>
    <w:rsid w:val="00AC3C48"/>
    <w:rsid w:val="00AC4067"/>
    <w:rsid w:val="00AC53DF"/>
    <w:rsid w:val="00AC54F8"/>
    <w:rsid w:val="00AC692A"/>
    <w:rsid w:val="00AD0F08"/>
    <w:rsid w:val="00AD1585"/>
    <w:rsid w:val="00AD1747"/>
    <w:rsid w:val="00AD235B"/>
    <w:rsid w:val="00AD560B"/>
    <w:rsid w:val="00AD5BBB"/>
    <w:rsid w:val="00AE02B5"/>
    <w:rsid w:val="00AE0494"/>
    <w:rsid w:val="00AE0B28"/>
    <w:rsid w:val="00AE0C8D"/>
    <w:rsid w:val="00AE0D50"/>
    <w:rsid w:val="00AE1947"/>
    <w:rsid w:val="00AE242E"/>
    <w:rsid w:val="00AE2D8E"/>
    <w:rsid w:val="00AE4C9F"/>
    <w:rsid w:val="00AE7A40"/>
    <w:rsid w:val="00AE7EF9"/>
    <w:rsid w:val="00AF4A88"/>
    <w:rsid w:val="00AF60FC"/>
    <w:rsid w:val="00AF619D"/>
    <w:rsid w:val="00B01A75"/>
    <w:rsid w:val="00B02D39"/>
    <w:rsid w:val="00B03711"/>
    <w:rsid w:val="00B03B6B"/>
    <w:rsid w:val="00B04CC3"/>
    <w:rsid w:val="00B17DE2"/>
    <w:rsid w:val="00B2096A"/>
    <w:rsid w:val="00B20E8D"/>
    <w:rsid w:val="00B32541"/>
    <w:rsid w:val="00B3267F"/>
    <w:rsid w:val="00B35F87"/>
    <w:rsid w:val="00B379DA"/>
    <w:rsid w:val="00B37A67"/>
    <w:rsid w:val="00B41203"/>
    <w:rsid w:val="00B41500"/>
    <w:rsid w:val="00B5297F"/>
    <w:rsid w:val="00B52E16"/>
    <w:rsid w:val="00B53812"/>
    <w:rsid w:val="00B53C36"/>
    <w:rsid w:val="00B623DA"/>
    <w:rsid w:val="00B62736"/>
    <w:rsid w:val="00B62A71"/>
    <w:rsid w:val="00B62EF9"/>
    <w:rsid w:val="00B630C6"/>
    <w:rsid w:val="00B65DC0"/>
    <w:rsid w:val="00B67C2D"/>
    <w:rsid w:val="00B70D91"/>
    <w:rsid w:val="00B72FA0"/>
    <w:rsid w:val="00B73209"/>
    <w:rsid w:val="00B7708B"/>
    <w:rsid w:val="00B7721B"/>
    <w:rsid w:val="00B80E25"/>
    <w:rsid w:val="00B8347E"/>
    <w:rsid w:val="00B84B4A"/>
    <w:rsid w:val="00B8589C"/>
    <w:rsid w:val="00B86BAC"/>
    <w:rsid w:val="00B97B35"/>
    <w:rsid w:val="00BA3196"/>
    <w:rsid w:val="00BA3509"/>
    <w:rsid w:val="00BA5877"/>
    <w:rsid w:val="00BB124C"/>
    <w:rsid w:val="00BB17E3"/>
    <w:rsid w:val="00BB1CDB"/>
    <w:rsid w:val="00BB2110"/>
    <w:rsid w:val="00BB3645"/>
    <w:rsid w:val="00BB547E"/>
    <w:rsid w:val="00BB69B7"/>
    <w:rsid w:val="00BC2581"/>
    <w:rsid w:val="00BC3F55"/>
    <w:rsid w:val="00BC481A"/>
    <w:rsid w:val="00BC4D26"/>
    <w:rsid w:val="00BC555D"/>
    <w:rsid w:val="00BC658E"/>
    <w:rsid w:val="00BD0218"/>
    <w:rsid w:val="00BD1869"/>
    <w:rsid w:val="00BD200B"/>
    <w:rsid w:val="00BD63DF"/>
    <w:rsid w:val="00BD64D4"/>
    <w:rsid w:val="00BD7C4B"/>
    <w:rsid w:val="00BE2C03"/>
    <w:rsid w:val="00BE33E8"/>
    <w:rsid w:val="00BF2BEB"/>
    <w:rsid w:val="00BF3197"/>
    <w:rsid w:val="00BF5E23"/>
    <w:rsid w:val="00BF6AD1"/>
    <w:rsid w:val="00C01DB8"/>
    <w:rsid w:val="00C0300F"/>
    <w:rsid w:val="00C04C13"/>
    <w:rsid w:val="00C0523E"/>
    <w:rsid w:val="00C06C3C"/>
    <w:rsid w:val="00C0751C"/>
    <w:rsid w:val="00C07D81"/>
    <w:rsid w:val="00C07F14"/>
    <w:rsid w:val="00C11B64"/>
    <w:rsid w:val="00C1218B"/>
    <w:rsid w:val="00C12B6B"/>
    <w:rsid w:val="00C135F1"/>
    <w:rsid w:val="00C140D0"/>
    <w:rsid w:val="00C14775"/>
    <w:rsid w:val="00C150A5"/>
    <w:rsid w:val="00C22B21"/>
    <w:rsid w:val="00C23593"/>
    <w:rsid w:val="00C23845"/>
    <w:rsid w:val="00C31846"/>
    <w:rsid w:val="00C32A33"/>
    <w:rsid w:val="00C367FB"/>
    <w:rsid w:val="00C41389"/>
    <w:rsid w:val="00C41BB7"/>
    <w:rsid w:val="00C42379"/>
    <w:rsid w:val="00C44004"/>
    <w:rsid w:val="00C445F4"/>
    <w:rsid w:val="00C54DF3"/>
    <w:rsid w:val="00C610B6"/>
    <w:rsid w:val="00C6257F"/>
    <w:rsid w:val="00C63117"/>
    <w:rsid w:val="00C640C7"/>
    <w:rsid w:val="00C65784"/>
    <w:rsid w:val="00C67BDD"/>
    <w:rsid w:val="00C70F24"/>
    <w:rsid w:val="00C717F6"/>
    <w:rsid w:val="00C72FD7"/>
    <w:rsid w:val="00C8155C"/>
    <w:rsid w:val="00C907F0"/>
    <w:rsid w:val="00C93A91"/>
    <w:rsid w:val="00C95601"/>
    <w:rsid w:val="00CA1947"/>
    <w:rsid w:val="00CA1C91"/>
    <w:rsid w:val="00CA323D"/>
    <w:rsid w:val="00CA54A0"/>
    <w:rsid w:val="00CB5515"/>
    <w:rsid w:val="00CB76EF"/>
    <w:rsid w:val="00CB7840"/>
    <w:rsid w:val="00CC0E24"/>
    <w:rsid w:val="00CC2390"/>
    <w:rsid w:val="00CC34E2"/>
    <w:rsid w:val="00CC4A5C"/>
    <w:rsid w:val="00CC5BB7"/>
    <w:rsid w:val="00CC5F62"/>
    <w:rsid w:val="00CC69B4"/>
    <w:rsid w:val="00CC6D17"/>
    <w:rsid w:val="00CC7102"/>
    <w:rsid w:val="00CC7CF3"/>
    <w:rsid w:val="00CD1E85"/>
    <w:rsid w:val="00CD3AEA"/>
    <w:rsid w:val="00CD3C32"/>
    <w:rsid w:val="00CD4235"/>
    <w:rsid w:val="00CD56D7"/>
    <w:rsid w:val="00CD57FC"/>
    <w:rsid w:val="00CD632A"/>
    <w:rsid w:val="00CE0B6D"/>
    <w:rsid w:val="00CE127E"/>
    <w:rsid w:val="00CE1C10"/>
    <w:rsid w:val="00CE217C"/>
    <w:rsid w:val="00CE4AE9"/>
    <w:rsid w:val="00CF41D0"/>
    <w:rsid w:val="00D00CF9"/>
    <w:rsid w:val="00D012FF"/>
    <w:rsid w:val="00D04CD8"/>
    <w:rsid w:val="00D04DEC"/>
    <w:rsid w:val="00D114ED"/>
    <w:rsid w:val="00D1261E"/>
    <w:rsid w:val="00D13F32"/>
    <w:rsid w:val="00D14B5E"/>
    <w:rsid w:val="00D1685E"/>
    <w:rsid w:val="00D171BA"/>
    <w:rsid w:val="00D25B74"/>
    <w:rsid w:val="00D25CA1"/>
    <w:rsid w:val="00D31474"/>
    <w:rsid w:val="00D32933"/>
    <w:rsid w:val="00D3579F"/>
    <w:rsid w:val="00D36B62"/>
    <w:rsid w:val="00D37BF5"/>
    <w:rsid w:val="00D421A7"/>
    <w:rsid w:val="00D42987"/>
    <w:rsid w:val="00D42C18"/>
    <w:rsid w:val="00D43F5E"/>
    <w:rsid w:val="00D44623"/>
    <w:rsid w:val="00D47CF6"/>
    <w:rsid w:val="00D50820"/>
    <w:rsid w:val="00D511C3"/>
    <w:rsid w:val="00D5481D"/>
    <w:rsid w:val="00D55B2D"/>
    <w:rsid w:val="00D60045"/>
    <w:rsid w:val="00D628AE"/>
    <w:rsid w:val="00D62A33"/>
    <w:rsid w:val="00D647C9"/>
    <w:rsid w:val="00D6632B"/>
    <w:rsid w:val="00D67995"/>
    <w:rsid w:val="00D7163F"/>
    <w:rsid w:val="00D7298C"/>
    <w:rsid w:val="00D73998"/>
    <w:rsid w:val="00D76FD9"/>
    <w:rsid w:val="00D800BD"/>
    <w:rsid w:val="00D816C8"/>
    <w:rsid w:val="00D81BC5"/>
    <w:rsid w:val="00D827CE"/>
    <w:rsid w:val="00D84DEB"/>
    <w:rsid w:val="00D877A6"/>
    <w:rsid w:val="00D904D9"/>
    <w:rsid w:val="00D946F0"/>
    <w:rsid w:val="00D95156"/>
    <w:rsid w:val="00D95BD9"/>
    <w:rsid w:val="00D95DC3"/>
    <w:rsid w:val="00D96A46"/>
    <w:rsid w:val="00D96A67"/>
    <w:rsid w:val="00DA12D5"/>
    <w:rsid w:val="00DA3326"/>
    <w:rsid w:val="00DA3644"/>
    <w:rsid w:val="00DA3FCB"/>
    <w:rsid w:val="00DA630F"/>
    <w:rsid w:val="00DA6A38"/>
    <w:rsid w:val="00DA6B30"/>
    <w:rsid w:val="00DA7040"/>
    <w:rsid w:val="00DB07B5"/>
    <w:rsid w:val="00DB07F9"/>
    <w:rsid w:val="00DB3CAF"/>
    <w:rsid w:val="00DB4966"/>
    <w:rsid w:val="00DC1386"/>
    <w:rsid w:val="00DC7A46"/>
    <w:rsid w:val="00DD0F54"/>
    <w:rsid w:val="00DD4F7A"/>
    <w:rsid w:val="00DD5050"/>
    <w:rsid w:val="00DD5306"/>
    <w:rsid w:val="00DD5903"/>
    <w:rsid w:val="00DD5E1E"/>
    <w:rsid w:val="00DE229B"/>
    <w:rsid w:val="00DE3A2B"/>
    <w:rsid w:val="00DE4A81"/>
    <w:rsid w:val="00DE7AB8"/>
    <w:rsid w:val="00DF3188"/>
    <w:rsid w:val="00DF5529"/>
    <w:rsid w:val="00DF6DE8"/>
    <w:rsid w:val="00DF6FB0"/>
    <w:rsid w:val="00DF76B3"/>
    <w:rsid w:val="00DF76F2"/>
    <w:rsid w:val="00E00083"/>
    <w:rsid w:val="00E009E2"/>
    <w:rsid w:val="00E01DE7"/>
    <w:rsid w:val="00E0411F"/>
    <w:rsid w:val="00E0572E"/>
    <w:rsid w:val="00E10005"/>
    <w:rsid w:val="00E1238E"/>
    <w:rsid w:val="00E124B9"/>
    <w:rsid w:val="00E13F21"/>
    <w:rsid w:val="00E1612B"/>
    <w:rsid w:val="00E17515"/>
    <w:rsid w:val="00E20591"/>
    <w:rsid w:val="00E22766"/>
    <w:rsid w:val="00E2572E"/>
    <w:rsid w:val="00E2611E"/>
    <w:rsid w:val="00E2692D"/>
    <w:rsid w:val="00E271C2"/>
    <w:rsid w:val="00E27AC2"/>
    <w:rsid w:val="00E30031"/>
    <w:rsid w:val="00E329A6"/>
    <w:rsid w:val="00E34CB5"/>
    <w:rsid w:val="00E36419"/>
    <w:rsid w:val="00E37789"/>
    <w:rsid w:val="00E42265"/>
    <w:rsid w:val="00E45DAA"/>
    <w:rsid w:val="00E46560"/>
    <w:rsid w:val="00E47307"/>
    <w:rsid w:val="00E47601"/>
    <w:rsid w:val="00E50DB1"/>
    <w:rsid w:val="00E51053"/>
    <w:rsid w:val="00E51A6B"/>
    <w:rsid w:val="00E51A9F"/>
    <w:rsid w:val="00E52CA8"/>
    <w:rsid w:val="00E550CE"/>
    <w:rsid w:val="00E60B86"/>
    <w:rsid w:val="00E62E45"/>
    <w:rsid w:val="00E62F7D"/>
    <w:rsid w:val="00E700B8"/>
    <w:rsid w:val="00E702B9"/>
    <w:rsid w:val="00E70588"/>
    <w:rsid w:val="00E75FA1"/>
    <w:rsid w:val="00E76419"/>
    <w:rsid w:val="00E77787"/>
    <w:rsid w:val="00E77CD7"/>
    <w:rsid w:val="00E82017"/>
    <w:rsid w:val="00E82792"/>
    <w:rsid w:val="00E844D7"/>
    <w:rsid w:val="00E92E9D"/>
    <w:rsid w:val="00E93B3C"/>
    <w:rsid w:val="00E96A7F"/>
    <w:rsid w:val="00EA031A"/>
    <w:rsid w:val="00EA0CE9"/>
    <w:rsid w:val="00EA1A40"/>
    <w:rsid w:val="00EA330D"/>
    <w:rsid w:val="00EA5190"/>
    <w:rsid w:val="00EA5F4C"/>
    <w:rsid w:val="00EA6109"/>
    <w:rsid w:val="00EB2688"/>
    <w:rsid w:val="00EB6181"/>
    <w:rsid w:val="00EB664F"/>
    <w:rsid w:val="00EB7E37"/>
    <w:rsid w:val="00EC12E8"/>
    <w:rsid w:val="00EC1357"/>
    <w:rsid w:val="00EC5ACF"/>
    <w:rsid w:val="00ED22A8"/>
    <w:rsid w:val="00ED2479"/>
    <w:rsid w:val="00ED4EB4"/>
    <w:rsid w:val="00ED5D09"/>
    <w:rsid w:val="00ED7107"/>
    <w:rsid w:val="00EE2221"/>
    <w:rsid w:val="00EE276F"/>
    <w:rsid w:val="00EE2982"/>
    <w:rsid w:val="00EE634F"/>
    <w:rsid w:val="00EF369D"/>
    <w:rsid w:val="00EF38A7"/>
    <w:rsid w:val="00EF6A39"/>
    <w:rsid w:val="00F00B38"/>
    <w:rsid w:val="00F0376E"/>
    <w:rsid w:val="00F044B3"/>
    <w:rsid w:val="00F05E83"/>
    <w:rsid w:val="00F07DC4"/>
    <w:rsid w:val="00F07E05"/>
    <w:rsid w:val="00F10842"/>
    <w:rsid w:val="00F13C42"/>
    <w:rsid w:val="00F161F7"/>
    <w:rsid w:val="00F206E8"/>
    <w:rsid w:val="00F21755"/>
    <w:rsid w:val="00F21F2E"/>
    <w:rsid w:val="00F23947"/>
    <w:rsid w:val="00F23B61"/>
    <w:rsid w:val="00F276F1"/>
    <w:rsid w:val="00F32680"/>
    <w:rsid w:val="00F33A66"/>
    <w:rsid w:val="00F34368"/>
    <w:rsid w:val="00F34E5A"/>
    <w:rsid w:val="00F35452"/>
    <w:rsid w:val="00F45532"/>
    <w:rsid w:val="00F45ED2"/>
    <w:rsid w:val="00F53C4F"/>
    <w:rsid w:val="00F56A51"/>
    <w:rsid w:val="00F61899"/>
    <w:rsid w:val="00F66CD4"/>
    <w:rsid w:val="00F66E01"/>
    <w:rsid w:val="00F7129A"/>
    <w:rsid w:val="00F7180D"/>
    <w:rsid w:val="00F727A7"/>
    <w:rsid w:val="00F729D7"/>
    <w:rsid w:val="00F774CD"/>
    <w:rsid w:val="00F80F59"/>
    <w:rsid w:val="00F82E69"/>
    <w:rsid w:val="00F8414D"/>
    <w:rsid w:val="00F84181"/>
    <w:rsid w:val="00F84C5D"/>
    <w:rsid w:val="00F86271"/>
    <w:rsid w:val="00F87176"/>
    <w:rsid w:val="00F87303"/>
    <w:rsid w:val="00F91287"/>
    <w:rsid w:val="00F917FA"/>
    <w:rsid w:val="00F91B28"/>
    <w:rsid w:val="00F91DA0"/>
    <w:rsid w:val="00F9306F"/>
    <w:rsid w:val="00F94B4E"/>
    <w:rsid w:val="00F978B7"/>
    <w:rsid w:val="00FA2FCD"/>
    <w:rsid w:val="00FA3FA8"/>
    <w:rsid w:val="00FA4718"/>
    <w:rsid w:val="00FA6E64"/>
    <w:rsid w:val="00FB1DCD"/>
    <w:rsid w:val="00FB2F0E"/>
    <w:rsid w:val="00FB31CC"/>
    <w:rsid w:val="00FC05EE"/>
    <w:rsid w:val="00FC2EC6"/>
    <w:rsid w:val="00FC339A"/>
    <w:rsid w:val="00FC36E0"/>
    <w:rsid w:val="00FC546F"/>
    <w:rsid w:val="00FC6F5E"/>
    <w:rsid w:val="00FC711A"/>
    <w:rsid w:val="00FC7D31"/>
    <w:rsid w:val="00FD13AC"/>
    <w:rsid w:val="00FD2D28"/>
    <w:rsid w:val="00FD6BFE"/>
    <w:rsid w:val="00FE3FF3"/>
    <w:rsid w:val="00FE6D8B"/>
    <w:rsid w:val="00FF459F"/>
    <w:rsid w:val="00FF4D4F"/>
    <w:rsid w:val="1A113708"/>
    <w:rsid w:val="4D82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5:docId w15:val="{B46B0487-5688-4BA8-B0FC-D0CB719D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Lines="100" w:before="100" w:afterLines="100" w:after="100" w:line="360" w:lineRule="auto"/>
      <w:jc w:val="center"/>
      <w:outlineLvl w:val="0"/>
    </w:pPr>
    <w:rPr>
      <w:b/>
      <w:bCs/>
      <w:kern w:val="44"/>
      <w:sz w:val="28"/>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nhideWhenUsed/>
    <w:pPr>
      <w:jc w:val="left"/>
    </w:pPr>
  </w:style>
  <w:style w:type="paragraph" w:styleId="a5">
    <w:name w:val="Document Map"/>
    <w:basedOn w:val="a"/>
    <w:link w:val="Char1"/>
    <w:uiPriority w:val="99"/>
    <w:unhideWhenUsed/>
    <w:rPr>
      <w:rFonts w:ascii="宋体"/>
      <w:sz w:val="18"/>
      <w:szCs w:val="18"/>
    </w:rPr>
  </w:style>
  <w:style w:type="paragraph" w:styleId="a6">
    <w:name w:val="Balloon Text"/>
    <w:basedOn w:val="a"/>
    <w:semiHidden/>
    <w:rPr>
      <w:sz w:val="18"/>
      <w:szCs w:val="18"/>
    </w:rPr>
  </w:style>
  <w:style w:type="paragraph" w:styleId="a7">
    <w:name w:val="footer"/>
    <w:basedOn w:val="a"/>
    <w:link w:val="Char2"/>
    <w:uiPriority w:val="99"/>
    <w:unhideWhenUsed/>
    <w:pPr>
      <w:tabs>
        <w:tab w:val="center" w:pos="4153"/>
        <w:tab w:val="right" w:pos="8306"/>
      </w:tabs>
      <w:snapToGrid w:val="0"/>
      <w:jc w:val="left"/>
    </w:pPr>
    <w:rPr>
      <w:kern w:val="0"/>
      <w:sz w:val="18"/>
      <w:szCs w:val="18"/>
    </w:rPr>
  </w:style>
  <w:style w:type="paragraph" w:styleId="a8">
    <w:name w:val="header"/>
    <w:link w:val="Char3"/>
    <w:uiPriority w:val="99"/>
    <w:unhideWhenUsed/>
    <w:rsid w:val="005D30BA"/>
    <w:pPr>
      <w:pBdr>
        <w:bottom w:val="single" w:sz="6" w:space="1" w:color="auto"/>
      </w:pBdr>
      <w:tabs>
        <w:tab w:val="center" w:pos="4153"/>
        <w:tab w:val="right" w:pos="8306"/>
      </w:tabs>
      <w:snapToGrid w:val="0"/>
    </w:pPr>
    <w:rPr>
      <w:sz w:val="18"/>
      <w:szCs w:val="18"/>
    </w:rPr>
  </w:style>
  <w:style w:type="paragraph" w:styleId="10">
    <w:name w:val="toc 1"/>
    <w:basedOn w:val="a"/>
    <w:next w:val="a"/>
    <w:uiPriority w:val="39"/>
    <w:unhideWhenUsed/>
  </w:style>
  <w:style w:type="paragraph" w:styleId="a9">
    <w:name w:val="Subtitle"/>
    <w:basedOn w:val="a"/>
    <w:next w:val="a"/>
    <w:link w:val="Char4"/>
    <w:qFormat/>
    <w:pPr>
      <w:spacing w:before="240" w:after="60" w:line="312" w:lineRule="auto"/>
      <w:jc w:val="center"/>
      <w:outlineLvl w:val="1"/>
    </w:pPr>
    <w:rPr>
      <w:rFonts w:ascii="Cambria" w:hAnsi="Cambria"/>
      <w:b/>
      <w:bCs/>
      <w:kern w:val="28"/>
      <w:sz w:val="32"/>
      <w:szCs w:val="32"/>
    </w:rPr>
  </w:style>
  <w:style w:type="paragraph" w:styleId="20">
    <w:name w:val="toc 2"/>
    <w:basedOn w:val="a"/>
    <w:next w:val="a"/>
    <w:uiPriority w:val="39"/>
    <w:unhideWhenUsed/>
    <w:pPr>
      <w:ind w:leftChars="200" w:left="480"/>
    </w:pPr>
  </w:style>
  <w:style w:type="character" w:styleId="aa">
    <w:name w:val="Hyperlink"/>
    <w:uiPriority w:val="99"/>
    <w:unhideWhenUsed/>
    <w:rPr>
      <w:color w:val="0000FF"/>
      <w:u w:val="single"/>
    </w:rPr>
  </w:style>
  <w:style w:type="character" w:styleId="ab">
    <w:name w:val="annotation reference"/>
    <w:unhideWhenUsed/>
    <w:rPr>
      <w:sz w:val="21"/>
      <w:szCs w:val="21"/>
    </w:rPr>
  </w:style>
  <w:style w:type="table" w:styleId="ac">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5">
    <w:name w:val="Light Shading Accent 5"/>
    <w:basedOn w:val="a1"/>
    <w:uiPriority w:val="60"/>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paragraph" w:customStyle="1" w:styleId="ad">
    <w:basedOn w:val="1"/>
    <w:next w:val="a"/>
    <w:uiPriority w:val="39"/>
    <w:qFormat/>
    <w:pPr>
      <w:widowControl/>
      <w:spacing w:beforeLines="0" w:before="480" w:line="276" w:lineRule="auto"/>
      <w:jc w:val="left"/>
      <w:outlineLvl w:val="9"/>
    </w:pPr>
    <w:rPr>
      <w:rFonts w:ascii="Cambria" w:hAnsi="Cambria"/>
      <w:color w:val="365F91"/>
      <w:kern w:val="0"/>
      <w:szCs w:val="28"/>
    </w:rPr>
  </w:style>
  <w:style w:type="paragraph" w:customStyle="1" w:styleId="XBRLTitle6">
    <w:name w:val="XBRLTitle6"/>
    <w:basedOn w:val="a9"/>
    <w:next w:val="4"/>
    <w:qFormat/>
    <w:pPr>
      <w:keepNext/>
      <w:keepLines/>
      <w:numPr>
        <w:ilvl w:val="5"/>
        <w:numId w:val="1"/>
      </w:numPr>
      <w:ind w:left="0" w:firstLine="0"/>
      <w:jc w:val="left"/>
    </w:pPr>
    <w:rPr>
      <w:bCs w:val="0"/>
      <w:sz w:val="24"/>
    </w:rPr>
  </w:style>
  <w:style w:type="paragraph" w:customStyle="1" w:styleId="ae">
    <w:uiPriority w:val="99"/>
    <w:semiHidden/>
    <w:rPr>
      <w:kern w:val="2"/>
      <w:sz w:val="21"/>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XBRLTitle1">
    <w:name w:val="XBRLTitle1"/>
    <w:basedOn w:val="1"/>
    <w:next w:val="2"/>
    <w:qFormat/>
    <w:pPr>
      <w:numPr>
        <w:numId w:val="1"/>
      </w:numPr>
      <w:spacing w:beforeLines="50" w:before="340" w:afterLines="50" w:after="330" w:line="240" w:lineRule="auto"/>
    </w:pPr>
    <w:rPr>
      <w:rFonts w:ascii="Cambria" w:hAnsi="Cambria"/>
    </w:rPr>
  </w:style>
  <w:style w:type="paragraph" w:customStyle="1" w:styleId="XBRLTitle2">
    <w:name w:val="XBRLTitle2"/>
    <w:basedOn w:val="a9"/>
    <w:next w:val="4"/>
    <w:qFormat/>
    <w:pPr>
      <w:keepNext/>
      <w:keepLines/>
      <w:numPr>
        <w:ilvl w:val="1"/>
        <w:numId w:val="1"/>
      </w:numPr>
      <w:jc w:val="left"/>
    </w:pPr>
    <w:rPr>
      <w:bCs w:val="0"/>
      <w:sz w:val="24"/>
    </w:rPr>
  </w:style>
  <w:style w:type="paragraph" w:customStyle="1" w:styleId="XBRLTitle3">
    <w:name w:val="XBRLTitle3"/>
    <w:basedOn w:val="a9"/>
    <w:next w:val="4"/>
    <w:qFormat/>
    <w:pPr>
      <w:keepNext/>
      <w:keepLines/>
      <w:numPr>
        <w:ilvl w:val="2"/>
        <w:numId w:val="1"/>
      </w:numPr>
      <w:ind w:left="0" w:firstLine="0"/>
      <w:jc w:val="left"/>
    </w:pPr>
    <w:rPr>
      <w:bCs w:val="0"/>
      <w:sz w:val="24"/>
    </w:rPr>
  </w:style>
  <w:style w:type="paragraph" w:customStyle="1" w:styleId="XBRLTitle5">
    <w:name w:val="XBRLTitle5"/>
    <w:basedOn w:val="a9"/>
    <w:next w:val="4"/>
    <w:qFormat/>
    <w:pPr>
      <w:keepNext/>
      <w:keepLines/>
      <w:numPr>
        <w:ilvl w:val="4"/>
        <w:numId w:val="1"/>
      </w:numPr>
      <w:ind w:left="0" w:firstLine="0"/>
      <w:jc w:val="left"/>
    </w:pPr>
    <w:rPr>
      <w:bCs w:val="0"/>
      <w:sz w:val="24"/>
    </w:rPr>
  </w:style>
  <w:style w:type="paragraph" w:customStyle="1" w:styleId="XBRLTitle4">
    <w:name w:val="XBRLTitle4"/>
    <w:basedOn w:val="a9"/>
    <w:next w:val="4"/>
    <w:qFormat/>
    <w:pPr>
      <w:keepNext/>
      <w:keepLines/>
      <w:numPr>
        <w:ilvl w:val="3"/>
        <w:numId w:val="1"/>
      </w:numPr>
      <w:ind w:left="0" w:firstLine="0"/>
      <w:jc w:val="left"/>
    </w:pPr>
    <w:rPr>
      <w:bCs w:val="0"/>
      <w:sz w:val="24"/>
    </w:rPr>
  </w:style>
  <w:style w:type="character" w:customStyle="1" w:styleId="Char10">
    <w:name w:val="副标题 Char1"/>
    <w:rPr>
      <w:rFonts w:ascii="Cambria" w:hAnsi="Cambria"/>
      <w:b/>
      <w:kern w:val="28"/>
      <w:sz w:val="24"/>
      <w:szCs w:val="32"/>
    </w:rPr>
  </w:style>
  <w:style w:type="character" w:customStyle="1" w:styleId="txtcontent11">
    <w:name w:val="txtcontent11"/>
    <w:rPr>
      <w:rFonts w:ascii="ˎ̥" w:hAnsi="ˎ̥" w:hint="default"/>
      <w:color w:val="000000"/>
      <w:sz w:val="21"/>
      <w:szCs w:val="21"/>
    </w:rPr>
  </w:style>
  <w:style w:type="character" w:customStyle="1" w:styleId="Char0">
    <w:name w:val="批注文字 Char"/>
    <w:link w:val="a4"/>
    <w:rPr>
      <w:kern w:val="2"/>
      <w:sz w:val="21"/>
      <w:szCs w:val="22"/>
    </w:rPr>
  </w:style>
  <w:style w:type="character" w:customStyle="1" w:styleId="Char">
    <w:name w:val="批注主题 Char"/>
    <w:link w:val="a3"/>
    <w:uiPriority w:val="99"/>
    <w:semiHidden/>
    <w:rPr>
      <w:b/>
      <w:bCs/>
      <w:kern w:val="2"/>
      <w:sz w:val="21"/>
      <w:szCs w:val="22"/>
    </w:rPr>
  </w:style>
  <w:style w:type="character" w:customStyle="1" w:styleId="Char3">
    <w:name w:val="页眉 Char"/>
    <w:link w:val="a8"/>
    <w:uiPriority w:val="99"/>
    <w:rPr>
      <w:sz w:val="18"/>
      <w:szCs w:val="18"/>
    </w:rPr>
  </w:style>
  <w:style w:type="character" w:customStyle="1" w:styleId="Char4">
    <w:name w:val="副标题 Char"/>
    <w:link w:val="a9"/>
    <w:rPr>
      <w:rFonts w:ascii="Cambria" w:hAnsi="Cambria" w:cs="Times New Roman"/>
      <w:b/>
      <w:bCs/>
      <w:kern w:val="28"/>
      <w:sz w:val="32"/>
      <w:szCs w:val="32"/>
    </w:rPr>
  </w:style>
  <w:style w:type="character" w:customStyle="1" w:styleId="Char1">
    <w:name w:val="文档结构图 Char"/>
    <w:link w:val="a5"/>
    <w:uiPriority w:val="99"/>
    <w:semiHidden/>
    <w:rPr>
      <w:rFonts w:ascii="宋体"/>
      <w:kern w:val="2"/>
      <w:sz w:val="18"/>
      <w:szCs w:val="18"/>
    </w:rPr>
  </w:style>
  <w:style w:type="character" w:customStyle="1" w:styleId="Char2">
    <w:name w:val="页脚 Char"/>
    <w:link w:val="a7"/>
    <w:uiPriority w:val="99"/>
    <w:rPr>
      <w:sz w:val="18"/>
      <w:szCs w:val="18"/>
    </w:rPr>
  </w:style>
  <w:style w:type="character" w:customStyle="1" w:styleId="2Char">
    <w:name w:val="标题 2 Char"/>
    <w:link w:val="2"/>
    <w:uiPriority w:val="9"/>
    <w:semiHidden/>
    <w:rPr>
      <w:rFonts w:ascii="Cambria" w:eastAsia="宋体" w:hAnsi="Cambria" w:cs="Times New Roman"/>
      <w:b/>
      <w:bCs/>
      <w:kern w:val="2"/>
      <w:sz w:val="32"/>
      <w:szCs w:val="32"/>
    </w:rPr>
  </w:style>
  <w:style w:type="character" w:customStyle="1" w:styleId="4Char">
    <w:name w:val="标题 4 Char"/>
    <w:link w:val="4"/>
    <w:uiPriority w:val="9"/>
    <w:semiHidden/>
    <w:rPr>
      <w:rFonts w:ascii="Cambria" w:eastAsia="宋体" w:hAnsi="Cambria" w:cs="Times New Roman"/>
      <w:b/>
      <w:bCs/>
      <w:kern w:val="2"/>
      <w:sz w:val="28"/>
      <w:szCs w:val="28"/>
    </w:rPr>
  </w:style>
  <w:style w:type="character" w:customStyle="1" w:styleId="1Char">
    <w:name w:val="标题 1 Char"/>
    <w:link w:val="1"/>
    <w:uiPriority w:val="9"/>
    <w:rPr>
      <w:b/>
      <w:bCs/>
      <w:kern w:val="44"/>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15291</Words>
  <Characters>87165</Characters>
  <Application>Microsoft Office Word</Application>
  <DocSecurity>4</DocSecurity>
  <Lines>726</Lines>
  <Paragraphs>204</Paragraphs>
  <ScaleCrop>false</ScaleCrop>
  <Company>Microsoft</Company>
  <LinksUpToDate>false</LinksUpToDate>
  <CharactersWithSpaces>102252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系统用户</dc:creator>
  <cp:lastModifiedBy>Windows 用户</cp:lastModifiedBy>
  <cp:revision>2</cp:revision>
  <cp:lastPrinted>2013-02-18T03:10:00Z</cp:lastPrinted>
  <dcterms:created xsi:type="dcterms:W3CDTF">2023-07-07T07:50:00Z</dcterms:created>
  <dcterms:modified xsi:type="dcterms:W3CDTF">2023-07-07T07:50:00Z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