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03" w:rsidRDefault="00BE2C03">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BE2C03" w:rsidRDefault="00BE2C03">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BE2C03" w:rsidRDefault="00BE2C03">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BE2C03" w:rsidRDefault="00160133">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b/>
          <w:spacing w:val="2"/>
          <w:w w:val="99"/>
          <w:kern w:val="0"/>
          <w:position w:val="-4"/>
          <w:sz w:val="44"/>
          <w:szCs w:val="44"/>
        </w:rPr>
        <w:t>银华裕利混合型发起式证券投资基金</w:t>
      </w:r>
    </w:p>
    <w:p w:rsidR="00BE2C03" w:rsidRDefault="00160133">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招募说明书更新</w:t>
      </w:r>
    </w:p>
    <w:p w:rsidR="00BE2C03" w:rsidRDefault="00160133">
      <w:pPr>
        <w:snapToGrid w:val="0"/>
        <w:spacing w:line="360" w:lineRule="auto"/>
        <w:jc w:val="center"/>
        <w:rPr>
          <w:rFonts w:ascii="宋体" w:hAnsi="宋体"/>
          <w:b/>
          <w:sz w:val="30"/>
          <w:szCs w:val="30"/>
        </w:rPr>
      </w:pPr>
      <w:r>
        <w:rPr>
          <w:rFonts w:ascii="宋体" w:hAnsi="宋体" w:hint="eastAsia"/>
          <w:b/>
          <w:color w:val="000000"/>
          <w:sz w:val="32"/>
          <w:szCs w:val="32"/>
        </w:rPr>
        <w:t>(2023年第</w:t>
      </w:r>
      <w:r w:rsidR="000143D5">
        <w:rPr>
          <w:rFonts w:ascii="宋体" w:hAnsi="宋体" w:hint="eastAsia"/>
          <w:b/>
          <w:color w:val="000000"/>
          <w:sz w:val="32"/>
          <w:szCs w:val="32"/>
        </w:rPr>
        <w:t>2</w:t>
      </w:r>
      <w:r>
        <w:rPr>
          <w:rFonts w:ascii="宋体" w:hAnsi="宋体" w:hint="eastAsia"/>
          <w:b/>
          <w:color w:val="000000"/>
          <w:sz w:val="32"/>
          <w:szCs w:val="32"/>
        </w:rPr>
        <w:t>号)</w:t>
      </w: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160133">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基金管理人：银华基金管理股份有限公司</w:t>
      </w:r>
    </w:p>
    <w:p w:rsidR="00BE2C03" w:rsidRDefault="00160133">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E2C03" w:rsidRDefault="00BE2C03">
      <w:pPr>
        <w:autoSpaceDE w:val="0"/>
        <w:autoSpaceDN w:val="0"/>
        <w:adjustRightInd w:val="0"/>
        <w:snapToGrid w:val="0"/>
        <w:spacing w:line="360" w:lineRule="auto"/>
        <w:ind w:left="1347" w:rightChars="6" w:right="13"/>
        <w:rPr>
          <w:rFonts w:ascii="宋体" w:hAnsi="宋体"/>
          <w:kern w:val="0"/>
          <w:sz w:val="32"/>
          <w:szCs w:val="32"/>
        </w:rPr>
        <w:sectPr w:rsidR="00BE2C03">
          <w:headerReference w:type="default" r:id="rId8"/>
          <w:footerReference w:type="default" r:id="rId9"/>
          <w:headerReference w:type="first" r:id="rId10"/>
          <w:pgSz w:w="11920" w:h="16840"/>
          <w:pgMar w:top="1560" w:right="1680" w:bottom="280" w:left="1680" w:header="0" w:footer="1073" w:gutter="0"/>
          <w:pgNumType w:start="1"/>
          <w:cols w:space="720"/>
          <w:titlePg/>
          <w:docGrid w:linePitch="286"/>
        </w:sectPr>
      </w:pPr>
    </w:p>
    <w:p w:rsidR="00BE2C03" w:rsidRDefault="00160133">
      <w:pPr>
        <w:pStyle w:val="1"/>
        <w:snapToGrid w:val="0"/>
        <w:spacing w:beforeLines="0" w:before="240" w:after="240"/>
        <w:rPr>
          <w:rFonts w:ascii="宋体" w:hAnsi="宋体"/>
          <w:kern w:val="0"/>
        </w:rPr>
      </w:pPr>
      <w:bookmarkStart w:id="0" w:name="_Toc324920538"/>
      <w:bookmarkStart w:id="1" w:name="_Toc496884613"/>
      <w:bookmarkStart w:id="2" w:name="_Toc139637432"/>
      <w:r>
        <w:rPr>
          <w:rFonts w:ascii="宋体" w:hAnsi="宋体"/>
          <w:kern w:val="0"/>
        </w:rPr>
        <w:lastRenderedPageBreak/>
        <w:t>重要提示</w:t>
      </w:r>
      <w:bookmarkEnd w:id="0"/>
      <w:bookmarkEnd w:id="1"/>
      <w:bookmarkEnd w:id="2"/>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本基金经中国证券监督管理委员会（以下简称“中国证监会”）于2018年7月24日证监许可【2018】1177号文准予募集注册。</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本基金基金合同生效日为2018年12月7日。</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基金管理人保证本招募说明书的内容真实、准确、完整。本招募说明书经中国证监会注册，但中国证监会对本基金募集的注册，并不表明其对本基金的风险和收益作出实质性判断或保证，也不表明投资于本基金没有风险。中国证监会不对基金的投资价值及市场前景等作出实质性判断或者保证。</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基金分为股票型证券投资基金、混合型证券投资基金、债券型证券投资基金、货币市场基金等不同类型，投资人投资不同类型的基金将获得不同的收益预期，也将承担不同程度的风险。一般来说，基金的收益预期越高，投资人承担的收益风险也越大。本基金为混合型基金，其预期收益和预期风险水平高于债券型基金产品和货币市场基金。</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可根据投资策略需要或不同配置地的市场环境的变化，选择将部分基金资产投资于内地与香港股票市场交易互联互通机制下允许买卖的规定范围内的香港联合交易所上市的股票（以下简称“港股通标的股票”）或选择不将基金资产投资于港股通标的股票，基金资产并非必然投资港股通标的股票。基金资产投资港股通标的股票可能使本基金面临港股通交易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w:t>
      </w:r>
      <w:r>
        <w:rPr>
          <w:rFonts w:ascii="宋体" w:hAnsi="宋体"/>
          <w:kern w:val="0"/>
          <w:sz w:val="24"/>
        </w:rPr>
        <w:lastRenderedPageBreak/>
        <w:t>成损失）、港股通机制下交易日不连贯可能带来的风险（在内地开市香港休市的情形下，港股通不能正常交易，港股不能及时卖出，可能带来一定的流动性风险）等。具体详见本招募说明书中“风险揭示”章节。</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信用风险、集中度风险、系统性风险、政策风险等。具体风险烦请查阅本招募说明书的“风险揭示”章节的相关内容。</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本基金的投资范围包括存托凭证，若投资可能面临中国存托凭证价格大幅波动甚至出现较大亏损的风险，以及与创新企业、境外发行人、中国存托凭证发行机制以及交易机制等相关的风险。</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可根据投资策略需要或市场环境变化，选择将部分基金资产投资于北京证券交易所（以下简称“北交所”）股票或选择不将基金资产投资于北交所股票，基金资产并非必然投资于北交所股票。基金资产投资于北交所股票的特有风险包括但不限于上市公司经营风险、市场风险、股价大幅波动风险、流动性风险、转板风险、退市风险、系统性风险、集中度风险、政策风险和监管规则变化风险等。具体详见本招募说明书中“风险揭示”章节。</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本基金按照基金份额发售面值人民币1.00元发售，在市场波动等因素的影响下，基金份额净值可能低于基金份额发售面值。</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投资于证券市场，基金净值会因为证券市场波动等因素产生波动，投资人在投资本基金前，需充分了解本基金的产品特性，充分考虑自身的风险承受能力，理性判断市场，并承担基金投资中出现的各类风险，包括市场风险、基金运作风险、其他风险以及本基金特有的风险等。巨额赎回风险是开放式基金所特有的一种风险，对本基金而言，即当单个开放日内的基金份额净赎回申请（赎回申请份额总数加上基金转换中转出申请份额总数后扣除申购申请份额总数及基金转换中转入申请份额总数后的余额）超过前一开放日基金总份额的百分之十时，投资人将可能无法及时赎回持有的全部基金份额。</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本基金为发起式基金，在基金募集时，基金管理人将运用公司固有资金认购本基金基金份额金额不低于1000万元，认购的基金份额持有期限不低于三年。但</w:t>
      </w:r>
      <w:r>
        <w:rPr>
          <w:rFonts w:ascii="宋体" w:hAnsi="宋体"/>
          <w:kern w:val="0"/>
          <w:sz w:val="24"/>
        </w:rPr>
        <w:lastRenderedPageBreak/>
        <w:t>基金管理人对本基金的发起认购，并不代表对本基金的风险或收益的任何判断、预测、推荐和保证，发起资金也并不用于对投资人投资亏损的补偿，投资人及发起份额认购人均自行承担投资风险。本基金管理人认购的本基金基金份额持有期限满三年后，本基金管理人将根据自身情况决定是否继续持有，届时本基金管理人有可能赎回所持有的本基金基金份额。另外，在基金合同生效之日起三年后的对应自然日，如果本基金的基金资产净值低于2亿元，基金合同将自动终止，且不得通过召开基金份额持有人大会延续基金合同期限。因此，投资人将面临基金合同可能终止的不确定性风险。</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当本基金持有特定资产且存在或潜在大额赎回申请时，基金管理人履行相应程序后，可以启用侧袋机制。请基金份额持有人仔细阅读相关内容并关注本基金启用侧袋机制时的特定风险。</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投资有风险，投资人在进行投资决策前，请仔细阅读本招募说明书、基金合同、基金产品资料概要等信息披露文件，了解本基金的风险收益特征，并根据自身的投资目的、投资期限、投资经验、资产状况等判断基金是否和投资人的风险承受能力相适应。</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基金管理人承诺以恪尽职守、诚实信用、谨慎勤勉的原则管理和运用基金资产，但不保证本基金一定盈利，也不保证最低收益。当投资人赎回时，所得可能会高于或低于投资人先前所支付的金额。投资人应当认真阅读基金合同、基金招募说明书、基金产品资料概要等信息披露文件，自主判断基金的投资价值，自主做出投资决策，自行承担投资风险。本基金的过往业绩及其净值高低并不预示其未来业绩表现。基金管理人所管理的其他基金的业绩并不构成对本基金业绩表现的保证。基金管理人提醒投资人基金投资的“买者自负”原则，在做出投资决策后，基金运营状况与基金净值变化引致的投资风险，由投资人自行负担。</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投资人应当通过基金管理人或具有基金销售业务资格的其他机构认购、申购和赎回基金份额，基金销售机构名单详见本招募说明书、本基金的基金份额发售公告以及相关披露。</w:t>
      </w:r>
    </w:p>
    <w:p w:rsidR="00BE2C03" w:rsidRDefault="00160133">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kern w:val="0"/>
          <w:sz w:val="24"/>
        </w:rPr>
        <w:t>本招募说明书（更新）所载内容截止日为2023年0</w:t>
      </w:r>
      <w:r w:rsidR="000143D5">
        <w:rPr>
          <w:rFonts w:ascii="宋体" w:hAnsi="宋体"/>
          <w:kern w:val="0"/>
          <w:sz w:val="24"/>
        </w:rPr>
        <w:t>7</w:t>
      </w:r>
      <w:r>
        <w:rPr>
          <w:rFonts w:ascii="宋体" w:hAnsi="宋体"/>
          <w:kern w:val="0"/>
          <w:sz w:val="24"/>
        </w:rPr>
        <w:t>月1</w:t>
      </w:r>
      <w:r w:rsidR="000143D5">
        <w:rPr>
          <w:rFonts w:ascii="宋体" w:hAnsi="宋体"/>
          <w:kern w:val="0"/>
          <w:sz w:val="24"/>
        </w:rPr>
        <w:t>0</w:t>
      </w:r>
      <w:r>
        <w:rPr>
          <w:rFonts w:ascii="宋体" w:hAnsi="宋体"/>
          <w:kern w:val="0"/>
          <w:sz w:val="24"/>
        </w:rPr>
        <w:t>日，有关财务数据截止日为2023年03月31日，净值表现截止日为2022年12月31日，所披露的投资组合为2023年第1季度的数据（财务数据未经审计）。</w:t>
      </w:r>
    </w:p>
    <w:p w:rsidR="00BE2C03" w:rsidRDefault="00BE2C03">
      <w:pPr>
        <w:autoSpaceDE w:val="0"/>
        <w:autoSpaceDN w:val="0"/>
        <w:adjustRightInd w:val="0"/>
        <w:snapToGrid w:val="0"/>
        <w:spacing w:before="51" w:line="360" w:lineRule="auto"/>
        <w:ind w:left="120" w:rightChars="6" w:right="13" w:firstLine="480"/>
        <w:rPr>
          <w:rFonts w:ascii="宋体" w:hAnsi="宋体"/>
          <w:kern w:val="0"/>
          <w:szCs w:val="24"/>
        </w:rPr>
        <w:sectPr w:rsidR="00BE2C03">
          <w:headerReference w:type="default" r:id="rId11"/>
          <w:pgSz w:w="11920" w:h="16840"/>
          <w:pgMar w:top="1440" w:right="1680" w:bottom="280" w:left="1680" w:header="0" w:footer="1073" w:gutter="0"/>
          <w:pgNumType w:start="1"/>
          <w:cols w:space="720"/>
        </w:sectPr>
      </w:pPr>
    </w:p>
    <w:p w:rsidR="00683F94" w:rsidRPr="00683F94" w:rsidRDefault="00160133" w:rsidP="00683F94">
      <w:pPr>
        <w:pStyle w:val="ad"/>
        <w:snapToGrid w:val="0"/>
        <w:spacing w:after="240" w:line="360" w:lineRule="auto"/>
        <w:jc w:val="center"/>
        <w:rPr>
          <w:rFonts w:ascii="宋体" w:hAnsi="宋体"/>
          <w:noProof/>
          <w:sz w:val="21"/>
        </w:rPr>
      </w:pPr>
      <w:r w:rsidRPr="00683F94">
        <w:rPr>
          <w:rFonts w:ascii="宋体" w:hAnsi="宋体"/>
          <w:color w:val="000000"/>
          <w:position w:val="-4"/>
          <w:sz w:val="24"/>
          <w:szCs w:val="30"/>
        </w:rPr>
        <w:lastRenderedPageBreak/>
        <w:t>目</w:t>
      </w:r>
      <w:r w:rsidRPr="00683F94">
        <w:rPr>
          <w:rFonts w:ascii="宋体" w:hAnsi="宋体"/>
          <w:color w:val="000000"/>
          <w:position w:val="-4"/>
          <w:sz w:val="24"/>
          <w:szCs w:val="30"/>
        </w:rPr>
        <w:tab/>
        <w:t>录</w:t>
      </w:r>
      <w:r w:rsidR="00683F94" w:rsidRPr="00683F94">
        <w:rPr>
          <w:rFonts w:ascii="宋体" w:hAnsi="宋体"/>
          <w:color w:val="000000"/>
          <w:position w:val="-4"/>
          <w:sz w:val="21"/>
          <w:szCs w:val="30"/>
        </w:rPr>
        <w:fldChar w:fldCharType="begin"/>
      </w:r>
      <w:r w:rsidR="00683F94" w:rsidRPr="00683F94">
        <w:rPr>
          <w:rFonts w:ascii="宋体" w:hAnsi="宋体"/>
          <w:color w:val="000000"/>
          <w:position w:val="-4"/>
          <w:sz w:val="21"/>
          <w:szCs w:val="30"/>
        </w:rPr>
        <w:instrText xml:space="preserve"> TOC \o "1-3" \f - \h \t "-1" </w:instrText>
      </w:r>
      <w:r w:rsidR="00683F94" w:rsidRPr="00683F94">
        <w:rPr>
          <w:rFonts w:ascii="宋体" w:hAnsi="宋体"/>
          <w:color w:val="000000"/>
          <w:position w:val="-4"/>
          <w:sz w:val="21"/>
          <w:szCs w:val="30"/>
        </w:rPr>
        <w:fldChar w:fldCharType="separate"/>
      </w:r>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32" w:history="1">
        <w:r w:rsidR="00683F94" w:rsidRPr="00683F94">
          <w:rPr>
            <w:rStyle w:val="aa"/>
            <w:rFonts w:ascii="宋体" w:hAnsi="宋体" w:hint="eastAsia"/>
            <w:noProof/>
            <w:kern w:val="0"/>
          </w:rPr>
          <w:t>重要提示</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_Toc139637432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33" w:history="1">
        <w:r w:rsidR="00683F94" w:rsidRPr="00683F94">
          <w:rPr>
            <w:rStyle w:val="aa"/>
            <w:rFonts w:ascii="宋体" w:hAnsi="宋体" w:hint="eastAsia"/>
            <w:noProof/>
          </w:rPr>
          <w:t>一、绪言</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_Toc139637433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5</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34" w:history="1">
        <w:r w:rsidR="00683F94" w:rsidRPr="00683F94">
          <w:rPr>
            <w:rStyle w:val="aa"/>
            <w:rFonts w:ascii="宋体" w:hAnsi="宋体" w:hint="eastAsia"/>
            <w:noProof/>
          </w:rPr>
          <w:t>二、释义</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_Toc139637434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6</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35" w:history="1">
        <w:r w:rsidR="00683F94" w:rsidRPr="00683F94">
          <w:rPr>
            <w:rStyle w:val="aa"/>
            <w:rFonts w:ascii="宋体" w:hAnsi="宋体" w:hint="eastAsia"/>
            <w:noProof/>
          </w:rPr>
          <w:t>三、基金管理人</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_Toc139637435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11</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36" w:history="1">
        <w:r w:rsidR="00683F94" w:rsidRPr="00683F94">
          <w:rPr>
            <w:rStyle w:val="aa"/>
            <w:rFonts w:ascii="宋体" w:hAnsi="宋体" w:hint="eastAsia"/>
            <w:noProof/>
          </w:rPr>
          <w:t>四、基金托管人</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_Toc139637436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25</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37" w:history="1">
        <w:r w:rsidR="00683F94" w:rsidRPr="00683F94">
          <w:rPr>
            <w:rStyle w:val="aa"/>
            <w:rFonts w:ascii="宋体" w:hAnsi="宋体" w:hint="eastAsia"/>
            <w:noProof/>
          </w:rPr>
          <w:t>五、相关服务机构</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_Toc139637437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28</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38" w:history="1">
        <w:r w:rsidR="00683F94" w:rsidRPr="00683F94">
          <w:rPr>
            <w:rStyle w:val="aa"/>
            <w:rFonts w:ascii="宋体" w:hAnsi="宋体" w:hint="eastAsia"/>
            <w:noProof/>
          </w:rPr>
          <w:t>六、基金的募集</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_Toc139637438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39</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39" w:history="1">
        <w:r w:rsidR="00683F94" w:rsidRPr="00683F94">
          <w:rPr>
            <w:rStyle w:val="aa"/>
            <w:rFonts w:ascii="宋体" w:hAnsi="宋体" w:hint="eastAsia"/>
            <w:noProof/>
          </w:rPr>
          <w:t>七、基金合同的生效</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_Toc139637439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40</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40" w:history="1">
        <w:r w:rsidR="00683F94" w:rsidRPr="00683F94">
          <w:rPr>
            <w:rStyle w:val="aa"/>
            <w:rFonts w:ascii="宋体" w:hAnsi="宋体" w:hint="eastAsia"/>
            <w:noProof/>
          </w:rPr>
          <w:t>八、基金份额的申购与赎回</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_Toc139637440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41</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41" w:history="1">
        <w:r w:rsidR="00683F94" w:rsidRPr="00683F94">
          <w:rPr>
            <w:rStyle w:val="aa"/>
            <w:rFonts w:ascii="宋体" w:hAnsi="宋体" w:hint="eastAsia"/>
            <w:noProof/>
          </w:rPr>
          <w:t>九、基金的投资</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_Toc139637441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53</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42" w:history="1">
        <w:r w:rsidR="00683F94" w:rsidRPr="00683F94">
          <w:rPr>
            <w:rStyle w:val="aa"/>
            <w:rFonts w:ascii="宋体" w:hAnsi="宋体" w:hint="eastAsia"/>
            <w:noProof/>
          </w:rPr>
          <w:t>十、基金的业绩</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_Toc139637442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66</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43" w:history="1">
        <w:r w:rsidR="00683F94" w:rsidRPr="00683F94">
          <w:rPr>
            <w:rStyle w:val="aa"/>
            <w:rFonts w:ascii="宋体" w:hAnsi="宋体" w:hint="eastAsia"/>
            <w:noProof/>
          </w:rPr>
          <w:t>十一、基金的财产</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_Toc139637443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67</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44" w:history="1">
        <w:r w:rsidR="00683F94" w:rsidRPr="00683F94">
          <w:rPr>
            <w:rStyle w:val="aa"/>
            <w:rFonts w:ascii="宋体" w:hAnsi="宋体" w:hint="eastAsia"/>
            <w:noProof/>
          </w:rPr>
          <w:t>十二、基金资产估值</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_Toc139637444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68</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45" w:history="1">
        <w:r w:rsidR="00683F94" w:rsidRPr="00683F94">
          <w:rPr>
            <w:rStyle w:val="aa"/>
            <w:rFonts w:ascii="宋体" w:hAnsi="宋体" w:hint="eastAsia"/>
            <w:noProof/>
          </w:rPr>
          <w:t>十三、基金的收益与分配</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_Toc139637445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74</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46" w:history="1">
        <w:r w:rsidR="00683F94" w:rsidRPr="00683F94">
          <w:rPr>
            <w:rStyle w:val="aa"/>
            <w:rFonts w:ascii="宋体" w:hAnsi="宋体" w:hint="eastAsia"/>
            <w:noProof/>
          </w:rPr>
          <w:t>十四、基金的费用与税收</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_Toc139637446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76</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47" w:history="1">
        <w:r w:rsidR="00683F94" w:rsidRPr="00683F94">
          <w:rPr>
            <w:rStyle w:val="aa"/>
            <w:rFonts w:ascii="宋体" w:hAnsi="宋体" w:hint="eastAsia"/>
            <w:noProof/>
          </w:rPr>
          <w:t>十五、基金的会计和审计</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_Toc139637447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79</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48" w:history="1">
        <w:r w:rsidR="00683F94" w:rsidRPr="00683F94">
          <w:rPr>
            <w:rStyle w:val="aa"/>
            <w:rFonts w:ascii="宋体" w:hAnsi="宋体" w:hint="eastAsia"/>
            <w:noProof/>
          </w:rPr>
          <w:t>十六、基金的信息披露</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_Toc139637448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80</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49" w:history="1">
        <w:r w:rsidR="00683F94" w:rsidRPr="00683F94">
          <w:rPr>
            <w:rStyle w:val="aa"/>
            <w:rFonts w:ascii="宋体" w:hAnsi="宋体" w:hint="eastAsia"/>
            <w:noProof/>
          </w:rPr>
          <w:t>十七、侧袋机制</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_Toc139637449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87</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50" w:history="1">
        <w:r w:rsidR="00683F94" w:rsidRPr="00683F94">
          <w:rPr>
            <w:rStyle w:val="aa"/>
            <w:rFonts w:ascii="宋体" w:hAnsi="宋体" w:hint="eastAsia"/>
            <w:noProof/>
          </w:rPr>
          <w:t>十八、风险揭示</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_Toc139637450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90</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51" w:history="1">
        <w:r w:rsidR="00683F94" w:rsidRPr="00683F94">
          <w:rPr>
            <w:rStyle w:val="aa"/>
            <w:rFonts w:ascii="宋体" w:hAnsi="宋体" w:hint="eastAsia"/>
            <w:noProof/>
          </w:rPr>
          <w:t>十九、基金合同的变更、终止与基金财产的清算</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_Toc139637451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100</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52" w:history="1">
        <w:r w:rsidR="00683F94" w:rsidRPr="00683F94">
          <w:rPr>
            <w:rStyle w:val="aa"/>
            <w:rFonts w:ascii="宋体" w:hAnsi="宋体" w:hint="eastAsia"/>
            <w:noProof/>
          </w:rPr>
          <w:t>二十、基金合同的内容摘要</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_Toc139637452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102</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53" w:history="1">
        <w:r w:rsidR="00683F94" w:rsidRPr="00683F94">
          <w:rPr>
            <w:rStyle w:val="aa"/>
            <w:rFonts w:ascii="宋体" w:hAnsi="宋体" w:hint="eastAsia"/>
            <w:noProof/>
          </w:rPr>
          <w:t>二十一、基金托管协议的内容摘要</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_Toc139637453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119</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54" w:history="1">
        <w:r w:rsidR="00683F94" w:rsidRPr="00683F94">
          <w:rPr>
            <w:rStyle w:val="aa"/>
            <w:rFonts w:ascii="宋体" w:hAnsi="宋体" w:hint="eastAsia"/>
            <w:noProof/>
          </w:rPr>
          <w:t>二十二、对基金份额持有人的服务</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_Toc139637454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133</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55" w:history="1">
        <w:r w:rsidR="00683F94" w:rsidRPr="00683F94">
          <w:rPr>
            <w:rStyle w:val="aa"/>
            <w:rFonts w:ascii="宋体" w:hAnsi="宋体" w:hint="eastAsia"/>
            <w:noProof/>
          </w:rPr>
          <w:t>二十三、其他应披露事项</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_Toc139637455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135</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56" w:history="1">
        <w:r w:rsidR="00683F94" w:rsidRPr="00683F94">
          <w:rPr>
            <w:rStyle w:val="aa"/>
            <w:rFonts w:ascii="宋体" w:hAnsi="宋体" w:hint="eastAsia"/>
            <w:noProof/>
          </w:rPr>
          <w:t>二十四、招募说明书的存放及查阅方式</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_Toc139637456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136</w:t>
        </w:r>
        <w:r w:rsidR="00683F94" w:rsidRPr="00683F94">
          <w:rPr>
            <w:rFonts w:ascii="宋体" w:hAnsi="宋体"/>
            <w:noProof/>
          </w:rPr>
          <w:fldChar w:fldCharType="end"/>
        </w:r>
      </w:hyperlink>
    </w:p>
    <w:p w:rsidR="00683F94" w:rsidRPr="00683F94" w:rsidRDefault="0016166C" w:rsidP="00683F94">
      <w:pPr>
        <w:pStyle w:val="10"/>
        <w:tabs>
          <w:tab w:val="right" w:leader="dot" w:pos="8550"/>
        </w:tabs>
        <w:spacing w:line="360" w:lineRule="auto"/>
        <w:rPr>
          <w:rFonts w:ascii="宋体" w:hAnsi="宋体" w:cstheme="minorBidi"/>
          <w:noProof/>
        </w:rPr>
      </w:pPr>
      <w:hyperlink w:anchor="_Toc139637457" w:history="1">
        <w:r w:rsidR="00683F94" w:rsidRPr="00683F94">
          <w:rPr>
            <w:rStyle w:val="aa"/>
            <w:rFonts w:ascii="宋体" w:hAnsi="宋体" w:hint="eastAsia"/>
            <w:noProof/>
          </w:rPr>
          <w:t>二十五、备查文件</w:t>
        </w:r>
        <w:r w:rsidR="00683F94" w:rsidRPr="00683F94">
          <w:rPr>
            <w:rFonts w:ascii="宋体" w:hAnsi="宋体"/>
            <w:noProof/>
          </w:rPr>
          <w:tab/>
        </w:r>
        <w:r w:rsidR="00683F94" w:rsidRPr="00683F94">
          <w:rPr>
            <w:rFonts w:ascii="宋体" w:hAnsi="宋体"/>
            <w:noProof/>
          </w:rPr>
          <w:fldChar w:fldCharType="begin"/>
        </w:r>
        <w:r w:rsidR="00683F94" w:rsidRPr="00683F94">
          <w:rPr>
            <w:rFonts w:ascii="宋体" w:hAnsi="宋体"/>
            <w:noProof/>
          </w:rPr>
          <w:instrText xml:space="preserve"> PAGEREF _Toc139637457 \h </w:instrText>
        </w:r>
        <w:r w:rsidR="00683F94" w:rsidRPr="00683F94">
          <w:rPr>
            <w:rFonts w:ascii="宋体" w:hAnsi="宋体"/>
            <w:noProof/>
          </w:rPr>
        </w:r>
        <w:r w:rsidR="00683F94" w:rsidRPr="00683F94">
          <w:rPr>
            <w:rFonts w:ascii="宋体" w:hAnsi="宋体"/>
            <w:noProof/>
          </w:rPr>
          <w:fldChar w:fldCharType="separate"/>
        </w:r>
        <w:r w:rsidR="00683F94" w:rsidRPr="00683F94">
          <w:rPr>
            <w:rFonts w:ascii="宋体" w:hAnsi="宋体"/>
            <w:noProof/>
          </w:rPr>
          <w:t>137</w:t>
        </w:r>
        <w:r w:rsidR="00683F94" w:rsidRPr="00683F94">
          <w:rPr>
            <w:rFonts w:ascii="宋体" w:hAnsi="宋体"/>
            <w:noProof/>
          </w:rPr>
          <w:fldChar w:fldCharType="end"/>
        </w:r>
      </w:hyperlink>
    </w:p>
    <w:p w:rsidR="00BE2C03" w:rsidRPr="00683F94" w:rsidRDefault="00683F94" w:rsidP="00683F94">
      <w:pPr>
        <w:pStyle w:val="ad"/>
        <w:snapToGrid w:val="0"/>
        <w:spacing w:after="240" w:line="360" w:lineRule="auto"/>
        <w:jc w:val="center"/>
        <w:rPr>
          <w:rFonts w:ascii="宋体" w:hAnsi="宋体"/>
          <w:color w:val="000000"/>
          <w:sz w:val="24"/>
        </w:rPr>
      </w:pPr>
      <w:r w:rsidRPr="00683F94">
        <w:rPr>
          <w:rFonts w:ascii="宋体" w:hAnsi="宋体"/>
          <w:color w:val="000000"/>
          <w:position w:val="-4"/>
          <w:sz w:val="21"/>
          <w:szCs w:val="30"/>
        </w:rPr>
        <w:fldChar w:fldCharType="end"/>
      </w:r>
    </w:p>
    <w:p w:rsidR="00BE2C03" w:rsidRDefault="00BE2C03">
      <w:pPr>
        <w:autoSpaceDE w:val="0"/>
        <w:autoSpaceDN w:val="0"/>
        <w:adjustRightInd w:val="0"/>
        <w:snapToGrid w:val="0"/>
        <w:spacing w:line="360" w:lineRule="auto"/>
        <w:ind w:left="120" w:rightChars="6" w:right="13"/>
        <w:rPr>
          <w:rFonts w:ascii="宋体" w:hAnsi="宋体"/>
          <w:kern w:val="0"/>
          <w:szCs w:val="24"/>
        </w:rPr>
        <w:sectPr w:rsidR="00BE2C03">
          <w:pgSz w:w="11920" w:h="16840"/>
          <w:pgMar w:top="1480" w:right="1680" w:bottom="280" w:left="1680" w:header="0" w:footer="1073" w:gutter="0"/>
          <w:cols w:space="720"/>
        </w:sectPr>
      </w:pPr>
    </w:p>
    <w:p w:rsidR="00BE2C03" w:rsidRDefault="00BE2C03">
      <w:pPr>
        <w:autoSpaceDE w:val="0"/>
        <w:autoSpaceDN w:val="0"/>
        <w:adjustRightInd w:val="0"/>
        <w:snapToGrid w:val="0"/>
        <w:spacing w:line="360" w:lineRule="auto"/>
        <w:ind w:firstLineChars="200" w:firstLine="420"/>
        <w:rPr>
          <w:rFonts w:ascii="宋体" w:hAnsi="宋体"/>
          <w:kern w:val="0"/>
          <w:szCs w:val="24"/>
        </w:rPr>
      </w:pPr>
    </w:p>
    <w:p w:rsidR="00BE2C03" w:rsidRDefault="00160133">
      <w:pPr>
        <w:pStyle w:val="1"/>
        <w:snapToGrid w:val="0"/>
        <w:spacing w:beforeLines="0" w:before="240" w:after="240"/>
        <w:rPr>
          <w:rFonts w:ascii="宋体" w:hAnsi="宋体"/>
          <w:szCs w:val="30"/>
        </w:rPr>
      </w:pPr>
      <w:bookmarkStart w:id="3" w:name="_Toc139637433"/>
      <w:r>
        <w:rPr>
          <w:rFonts w:ascii="宋体" w:hAnsi="宋体"/>
          <w:sz w:val="30"/>
        </w:rPr>
        <w:t>一、绪言</w:t>
      </w:r>
      <w:bookmarkEnd w:id="3"/>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银华裕利混合型发起式证券投资基金招募说明书》（以下简称“招募说明书”或“本招募说明书”）依据《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银华裕利混合型发起式证券投资基金基金合同》（以下简称“基金合同”）及其他有关法律法规编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本招募说明书阐述了银华裕利混合型发起式证券投资基金的投资目标、策略、风险、费率等与投资人投资决策有关的全部必要事项，投资人在作出投资决策前应仔细阅读本招募说明书。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根据本招募说明书所载明的资料申请募集的。本招募说明书由银华基金管理股份有限公司解释。本基金管理人没有委托或授权任何其他人提供未在本招募说明书中载明的信息，或对本招募说明书作任何解释或者说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本基金基金份额的行为本身即表明其对基金合同的承认和接受。基金份额持有人作为基金合同当事人并不以在基金合同上书面签章或签字为必要条件。基金合同当事人应按照《基金法》、基金合同及其他有关规定享有权利、承担义务。基金投资人欲了解基金份额持有人的权利和义务，应详细查阅基金合同。</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4" w:name="_Toc139637434"/>
      <w:r>
        <w:rPr>
          <w:rFonts w:ascii="宋体" w:hAnsi="宋体"/>
          <w:sz w:val="30"/>
        </w:rPr>
        <w:lastRenderedPageBreak/>
        <w:t>二、释义</w:t>
      </w:r>
      <w:bookmarkEnd w:id="4"/>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1、基金或本基金：指银华裕利混合型发起式证券投资基金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2、基金管理人：指银华基金管理股份有限公司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3、基金托管人：指中国农业银行股份有限公司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4、基金合同、《基金合同》：指《银华裕利混合型发起式证券投资基金基金合同》及对基金合同的任何有效修订和补充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5、托管协议：指基金管理人与基金托管人就本基金签订之《银华裕利混合型发起式证券投资基金托管协议》及对该托管协议的任何有效修订和补充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6、招募说明书、《招募说明书》或本招募说明书：指《银华裕利混合型发起式证券投资基金招募说明书》及其更新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7、基金份额发售公告：指《银华裕利混合型发起式证券投资基金份额发售公告》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8、法律法规：指中国现行有效并公布实施的法律、行政法规、规范性文件、部门规章、地方性法规、地方政府规章和其制定机构不时做出的修改、补充和有权解释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法》：指2003年10月28日经第十届全国人民代表大会常务委员会第五次会议通过，2012年12月28日第十一届全国人民代表大会常务委员会第三十次会议修订，自2013年6月1日起实施的，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10、《销售办法》：指中国证监会2020年8月28日颁布、同年10月1日实施的《公开募集证券投资基金销售机构监督管理办法》及颁布机关对其不时做出的修订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11、《信息披露办法》：指中国证监会2019年7月26日颁布、同年9月1日实施的《公开募集证券投资基金信息披露管理办法》及颁布机关对其不时做出的修订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12、《运作办法》：指中国证监会2014年7月7日颁布、同年8月8日实施的《公开募集证券投资基金运作管理办法》及颁布机关对其不时做出的修订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13、《流动性风险管理规定》：指中国证监会2017年8月31日颁布、同年10月1日</w:t>
      </w:r>
      <w:r>
        <w:rPr>
          <w:rFonts w:ascii="宋体" w:hAnsi="宋体"/>
          <w:sz w:val="24"/>
        </w:rPr>
        <w:lastRenderedPageBreak/>
        <w:t>实施的《公开募集开放式证券投资基金流动性风险管理规定》及颁布机关对其不时做出的修订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14、中国证监会：指中国证券监督管理委员会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15、银行业监督管理机构：指中国人民银行和/或中国银行业监督管理委员会或其他经国务院授权的机构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16、基金合同当事人：指受基金合同约束，根据基金合同享有权利并承担义务的法律主体，包括基金管理人、基金托管人和基金份额持有人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17、个人投资者：指依据有关法律法规规定可投资于证券投资基金的自然人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18、机构投资者：指依法可以投资证券投资基金的、在中华人民共和国境内合法登记并存续或经有关政府部门批准设立并存续的企业法人、事业法人、社会团体或其他组织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合格境外投资者：指符合《合格境外机构投资者和人民币合格境外机构投资者境内证券期货投资管理办法》及相关法律法规规定，经中国证监会批准，使用来自境外的资金进行境内证券期货投资的境外机构投资者，包括合格境外机构投资者和人民币合格境外机构投资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20、投资人、投资者：指个人投资者、机构投资者、合格境外投资者以及法律法规或中国证监会允许购买证券投资基金的其他投资人的合称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21、基金份额持有人：指依基金合同和招募说明书等相关文件合法取得本基金基金份额的投资人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22、基金销售业务：指基金管理人或其他销售机构宣传推介基金，发售基金份额，办理基金份额的申购、赎回、转换、转托管及定期定额投资等业务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23、发售：指在本基金募集期内，销售机构向投资人销售本基金份额的行为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24、销售机构：指银华基金管理股份有限公司以及符合《销售办法》和中国证监会规定的其他条件，取得基金销售业务资格并与基金管理人签订了基金销售服务协议，办理基金销售业务的其他机构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25、基金销售网点：指销售机构的销售网点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27、登记机构：指办理登记业务的机构。基金的登记机构为银华基金管理股份</w:t>
      </w:r>
      <w:r>
        <w:rPr>
          <w:rFonts w:ascii="宋体" w:hAnsi="宋体"/>
          <w:sz w:val="24"/>
        </w:rPr>
        <w:lastRenderedPageBreak/>
        <w:t>有限公司或接受银华基金管理股份有限公司委托代为办理登记业务的机构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28、基金账户：指登记机构为投资人开立的、记录其持有的、基金管理人所管理的基金份额余额及其变动情况的账户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29、基金交易账户：指销售机构为投资人开立的、记录投资人通过该销售机构办理认购、申购、赎回、转换、转托管及定期定额投资等业务而引起基金份额变动及结余情况的账户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30、基金合同生效日：指基金募集达到法律法规规定及基金合同规定的条件，基金管理人聘请法定机构验资并向中国证监会办理基金备案手续完毕，并获得中国证监会书面确认之日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31、基金合同终止日：指基金合同规定的基金合同终止事由出现后，基金财产清算完毕，清算报告报中国证监会备案并予以公告之日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32、基金募集期：指自基金份额发售之日起至发售结束之日止的期间，最长不得超过3个月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33、存续期：指基金合同生效后合法存续的不定期期间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34、工作日：指上海证券交易所、深圳证券交易所的正常交易日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35、T日：指销售机构在规定时间受理投资人申购、赎回或其他业务申请的工作日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36、T+n日：指自T日起第n个工作日(不包含T日)，n=1，2，3，4，5……</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37、开放日：指为投资人办理基金份额申购、赎回或其他业务的工作日（若该工作日为非港股通交易日，则本基金不开放）</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38、开放时间：指开放日基金接受申购、赎回或其他交易的时间段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39、《业务规则》：指《银华基金管理股份有限公司基金注册登记业务规则》及其不时做出的修订，是规范基金管理人所管理的开放式证券投资基金登记方面的业务规则，由基金管理人和投资人共同遵守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40、认购：指在基金募集期内，投资人根据基金合同和招募说明书规定的条件以及基金销售网点规定的手续申请购买本基金基金份额的行为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41、申购：指基金合同生效后，投资人根据基金合同和招募说明书规定的条件以及基金销售网点规定的手续申请购买本基金基金份额的行为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42、赎回：指基金合同生效后，基金份额持有人按基金合同和招募说明书规定的条件以及基金销售网点规定的手续要求将本基金基金份额兑换为现金的行为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43、基金转换：指基金份额持有人按照基金合同和基金管理人届时有效公告规定的条件，申请将其持有基金管理人管理的、已开通基金转换业务的某一开放式基金的全部或部分基金份额转换为同一基金管理人管理的且已开通基金转换业务的其他开放式基金的基金份额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44、转托管：指基金份额持有人在本基金的不同销售机构之间实施的变更所持基金份额销售机构的操作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45、定期定额投资计划：指投资人通过有关销售机构提出申请，约定每期申购日、扣款金额及扣款方式，由销售机构于每期约定扣款日在投资人指定银行账户内自动完成扣款及受理基金申购申请的一种投资方式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巨额赎回：指本基金单个开放日，基金净赎回申请(赎回申请份额总数加上基金转换中转出申请份额总数后扣除申购申请份额总数及基金转换中转入申请份额总数后的余额)超过上一开放日基金总份额的10%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47、元：指中国法定货币人民币元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48、基金利润：指基金利息收入、投资收益、公允价值变动收益和其他收入扣除相关费用后的余额，基金已实现收益指基金利润减去公允价值变动收益后的余额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49、基金资产总值：指基金拥有的各类有价证券、股指期货合约、银行存款本息、基金应收款项及其他资产的价值总和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50、基金资产净值：指基金资产总值扣除基金负债后的净资产值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51、基金份额净值：指计算日基金资产净值除以计算日基金份额总数所得价值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52、基金资产估值：指计算评估基金资产和负债的价值，以确定基金资产净值和基金份额净值的过程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摆动定价机制：指当开放式基金遭遇大额申购赎回时，通过调整基金份额净值的方式，将基金调整投资组合的市场冲击成本分配给实际申购、赎回的投资人，从而减少对存量基金份额持有人利益的不利影响，确保投资人的合法权益不受损害并得到公平对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55、发起式基金：指符合《运作办法》和中国证监会规定的相关条件而募集、运作，由基金管理人、基金管理人股东、基金管理人高级管理人员或基金经理承诺认购一定金额并持有一定期限的证券投资基金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发起资金：指基金管理人的股东资金、基金管理人固有资金、基金管理人高级管理人员或基金经理等人员参与认购的资金。发起资金认购本基金的金额不低于1000万元，且发起资金认购的基金份额持有期限不低于三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57、发起资金提供方：以发起资金认购本基金且承诺以发起资金认购的基金份额持有期限不少于三年的基金管理人股东、基金管理人、基金管理人高级管理人员或基金经理等人员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58、港股通：指内地投资人委托内地证券公司，经由内地证券交易所设立的证券交易服务公司，向香港联合交易所进行申报，买卖规定范围内的香港联合交易所上市的股票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59、规定媒介：指符合中国证监会规定条件的用以进行信息披露的全国性报刊及《信息披露办法》规定的互联网网站（包括基金管理人网站、基金托管人网站、中国证监会基金电子披露网站）等媒介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60、不可抗力：指基金合同当事人不能预见、不能避免且不能克服的客观事件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61、中国：指中华人民共和国。为基金合同目的，不包括香港特别行政区、澳门特别行政区和台湾地区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62、基金产品资料概要：指《银华裕利混合型发起式证券投资基金基金产品资料概要》及其更新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5" w:name="_Toc139637435"/>
      <w:r>
        <w:rPr>
          <w:rFonts w:ascii="宋体" w:hAnsi="宋体"/>
          <w:sz w:val="30"/>
        </w:rPr>
        <w:lastRenderedPageBreak/>
        <w:t>三、基金管理人</w:t>
      </w:r>
      <w:bookmarkEnd w:id="5"/>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tbl>
      <w:tblPr>
        <w:tblW w:w="5000" w:type="pct"/>
        <w:tblLayout w:type="fixed"/>
        <w:tblCellMar>
          <w:left w:w="0" w:type="dxa"/>
          <w:right w:w="0" w:type="dxa"/>
        </w:tblCellMar>
        <w:tblLook w:val="0000" w:firstRow="0" w:lastRow="0" w:firstColumn="0" w:lastColumn="0" w:noHBand="0" w:noVBand="0"/>
      </w:tblPr>
      <w:tblGrid>
        <w:gridCol w:w="1399"/>
        <w:gridCol w:w="2504"/>
        <w:gridCol w:w="1398"/>
        <w:gridCol w:w="3349"/>
      </w:tblGrid>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名称</w:t>
            </w:r>
          </w:p>
        </w:tc>
        <w:tc>
          <w:tcPr>
            <w:tcW w:w="223"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银华基金管理股份有限公司</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住所</w:t>
            </w:r>
          </w:p>
        </w:tc>
        <w:tc>
          <w:tcPr>
            <w:tcW w:w="223"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深圳市福田区深南大道6008号特区报业大厦19层</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223"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北京市东城区东长安街1号东方广场东方经贸城C2办公楼15层</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7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王珠林</w:t>
            </w:r>
          </w:p>
        </w:tc>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设立日期</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2001年5月28日</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批准设立机关</w:t>
            </w:r>
          </w:p>
        </w:tc>
        <w:tc>
          <w:tcPr>
            <w:tcW w:w="7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中国证监会</w:t>
            </w:r>
          </w:p>
        </w:tc>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批准设立文号</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中国证监会证监基金字[2001]7号</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组织形式</w:t>
            </w:r>
          </w:p>
        </w:tc>
        <w:tc>
          <w:tcPr>
            <w:tcW w:w="7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股份有限公司</w:t>
            </w:r>
          </w:p>
        </w:tc>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注册资本</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2.222亿元人民币</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存续期间</w:t>
            </w:r>
          </w:p>
        </w:tc>
        <w:tc>
          <w:tcPr>
            <w:tcW w:w="7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持续经营</w:t>
            </w:r>
          </w:p>
        </w:tc>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兰健</w:t>
            </w:r>
          </w:p>
        </w:tc>
      </w:tr>
      <w:tr w:rsidR="00BE2C03">
        <w:trPr>
          <w:cantSplit/>
          <w:trHeight w:val="375"/>
        </w:trPr>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7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010-58163000</w:t>
            </w:r>
          </w:p>
        </w:tc>
        <w:tc>
          <w:tcPr>
            <w:tcW w:w="4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010-58163090</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银华基金管理有限公司成立于2001年5月28日，是经中国证监会批准（证监基金字[2001]7号文）设立的全国性资产管理公司。公司注册资本为2.222亿元人民币，公司的股权结构为西南证券股份有限公司（出资比例44.10%）、第一创业证券股份有限公司（出资比例26.10%）、东北证券股份有限公司（出资比例18.90%）、山西海鑫实业有限公司（出资比例0.90%）、珠海银华聚义投资合伙企业（有限合伙）（出资比例3.57%）、珠海银华致信投资合伙企业（有限合伙）（出资比例3.20%）及珠海银华汇玥投资合伙企业（有限合伙）（出资比例3.22%）。公司的主要业务是基金募集、基金销售、资产管理及中国证监会许可的其他业务。公司注册地为广东省深圳市。银华基金管理有限公司的法定名称已于2016年8月9日起变更为“银华基金管理股份有限公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治理结构完善，经营运作规范，能够切实维护基金投资人的利益。公司董事会下设“战略委员会”、“风险控制委员会”、“薪酬与提名委员会”、“审计委员会”四个专业委员会，有针对性地研究公司在经营管理和基金运作中的相关情况，制定相应的政策，并充分发挥独立董事的职能，切实加强对公司运作的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公司监事会由4位监事组成，主要负责检查公司的财务以及对公司董事、高级管理人员的行为进行监督。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具体经营管理由总经理负责，公司根据经营运作需要设置投资管理一部、多资产投资管理部、固定收益及资产配置部、养老金投资管理部、量化投资部、境外投资部、FOF投资管理部、研究部、营销管理与服务部、渠道业务总部、机构业务总部、养老金业务总部、指数业务部、交易管理部、风险管理部、产品开发部、</w:t>
      </w:r>
      <w:r>
        <w:rPr>
          <w:rFonts w:ascii="宋体" w:hAnsi="宋体"/>
          <w:sz w:val="24"/>
        </w:rPr>
        <w:lastRenderedPageBreak/>
        <w:t>运作保障部、信息技术部、互联网金融部、战略发展部、投资银行部、基础设施投资部、监察稽核部、内部审计部、党委办公室（党群工作部）、人力资源部、公司办公室、财务行政部、深圳管理部等职能部门，并设有北京分公司、青岛分公司和上海分公司。此外，公司设立投资决策委员会作为公司投资业务的最高决策机构，同时下设“主动型A股投资决策、固定收益投资决策、量化和境外投资决策、养老金投资决策、基金中基金投资决策及基金投资顾问投资决策”六个专门委员会。公司投资决策委员会负责确定公司投资业务理念、投资政策及投资决策流程和风险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（二）主要人员情况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1、基金管理人董事、监事、经理及其他高级管理人员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珠林先生：董事长，经济学博士。曾任甘肃省职工财经学院财会系讲师，甘肃省证券公司发行部经理，中国蓝星化学工业总公司处长，蓝星清洗股份有限公司董事、副总经理、董事会秘书，西南证券副总裁，中国银河证券副总裁，西南证券董事、总裁；还曾先后担任中国证监会发行审核委员会委员、中国证监会上市公司并购重组审核委员会委员、中国证券业协会投资银行业委员会委员、重庆市证券期货业协会会长、中国证券业协会绿色证券专业委员会副主任委员、中证机构间报价系统股份有限公司董事。现任公司董事长，兼任银华国际资本管理有限公司董事长、银华长安资本管理（北京）有限公司董事、中国上市公司协会并购融资委员会执行主任、中国证券业协会证券行业文化建设委员会顾问、深圳证券交易所理事会创业板股票发行规范委员会委员、中国退役士兵就业创业服务促进会副理事长、重庆三峡银行股份有限公司独立董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芳女士：董事，法学硕士、清华五道口金融EMBA。曾任大鹏证券有限责任公司法律支持部经理，第一创业证券有限责任公司首席律师、法律合规部总经理、合规总监、副总裁，第一创业证券股份有限公司副总裁、合规总监、常务副总裁。现任第一创业证券股份有限公司董事、总裁，第一创业证券承销保荐有限责任公司执行董事，深圳第一创业创新资本管理有限公司董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福春先生：董事，中共党员，硕士研究生，高级工程师。曾任一汽集团公司发展部部长；吉林省经济贸易委员会副主任；吉林省发展和改革委员会副主任；长春市副市长；吉林省发展和改革委员会主任；吉林省政府党组成员、秘书长。现任东北证券股份有限公司董事长、党委委员，东证融汇证券资产管理有限公司董事</w:t>
      </w:r>
      <w:r>
        <w:rPr>
          <w:rFonts w:ascii="宋体" w:hAnsi="宋体"/>
          <w:sz w:val="24"/>
        </w:rPr>
        <w:lastRenderedPageBreak/>
        <w:t>长，中国证券业协会第七届理事会理事，深圳证券交易所第五届理事会战略发展委员会委员，上海证券交易所第五届理事会政策咨询委员会委员，吉林省证券业协会会长、证券经营机构分会会长，吉林省资本市场发展促进会会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吴坚先生：董事，中共党员。曾任重庆证监局上市处处长；重庆渝富资产经营管理集团有限公司党委委员、副总经理；重庆东源产业投资股份有限公司董事长；重庆上市公司董事长协会秘书长；安诚财产保险股份有限公司副董事长；重庆银海融资租赁有限公司董事长；西南药业股份有限公司独立董事；西南证券股份有限公司董事；西南证券股份有限公司副总裁；重庆股份转让中心有限责任公司董事长；重庆仲裁委仲裁员；上交所第四届理事会会员自律管理委员会委员；重庆市证券期货业协会会长。现任西南证券党委书记、董事长兼总裁，中国证券业协会托管结算委员会主任委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立新先生：董事，总经理，经济学博士。中国证券投资基金行业最早的从业者之一，从业经验超过20年。他参与创始的南方基金和目前领导的银华基金是中国优秀的基金管理公司。曾就读于北京大学哲学系、中央党校研究生部、中国社会科学院研究生部、长江商学院EMBA。先后就职于中国工商银行总行、中国农村发展信托投资公司、南方证券股份有限公司基金部；参与筹建南方基金管理有限公司，并历任南方基金研究开发部、市场拓展部总监。现任银华基金管理股份有限公司总经理、银华长安资本管理（北京）有限公司董事长、银华基金投资决策委员会主席、代任首席信息官。此外，兼任中国基金业协会兼职副会长、香山财富论坛发起理事、秘书长、香山财富管理研究院院长、《中国证券投资基金年鉴》副主编、《证券时报》第三届专家委员会委员、北京大学校友会理事、北京大学企业家俱乐部理事、北京大学哲学系系友会秘书长、北京大学教育基金会投委会委员、北京大学金融校友联合会副会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郑秉文先生：独立董事，经济学博士，教授，博士生导师。曾任中国社会科学院研究生院副院长，欧洲所副所长，拉美所所长和美国所所长，第十三届全国政协委员。现任中国社科院世界社保研究中心主任，中国社会科学院社会保障实验室首席专家，中国社科院大学政府管理学院教授、博士生导师，政府特殊津贴享受者，人力资源和社会保障部咨询专家委员会委员，在北京大学、中国人民大学、国家行政学院、武汉大学等十几所大学担任客座教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刘星先生：独立董事，管理学博士，重庆大学经济与工商管理学院会计学教</w:t>
      </w:r>
      <w:r>
        <w:rPr>
          <w:rFonts w:ascii="宋体" w:hAnsi="宋体"/>
          <w:sz w:val="24"/>
        </w:rPr>
        <w:lastRenderedPageBreak/>
        <w:t>授、博士生导师、国务院“政府特殊津贴”获得者，全国先进会计（教育）工作者，中国注册会计师协会非执业会员。现任中国会计学会理事，中国会计学会对外学术交流专业委员会副主任，中国会计学会教育分会前任会长，中国管理现代化研究会常务理事，中国优选法统筹与经济数学研究会常务理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邢冬梅女士：独立董事，法律硕士，律师。曾任职于司法部中国法律事务中心(后更名为信利律师事务所)，并历任北京市共和律师事务所合伙人。现任北京天达共和律师事务所管理合伙人、金融部负责人，同时兼任北京朝阳区律师协会副会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封和平先生：独立董事，会计学硕士，中国注册会计师。曾任职于财政部所属中华财务会计咨询公司，并历任安达信华强会计师事务所副总经理、合伙人，普华永道会计师事务所合伙人、北京主管合伙人，摩根士丹利中国区副主席；还曾担任中国证监会发行审核委员会委员、中国证监会上市公司并购重组审核委员会委员、第29届奥运会北京奥组委财务顾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东军先生：监事会主席，研究生，注册会计师、注册评估师。曾任天勤会计师事务所和中天勤会计师事务所合伙人，深圳同盛创业投资管理有限公司合伙人，日域（美国）国际工程有限公司财务部国际财务总监，深圳发展银行（现更名为平安银行）总行稽核部副总经理（主持工作），第一创业证券股份有限公司计划财务部负责人，第一创业证券股份有限公司董事会秘书，兼任第一创业证券承销保荐有限责任公司董事、第一创业期货有限责任公司监事、第一创业期货有限责任公司董事等职务。现任第一创业证券股份有限公司副总裁兼财务总监、第一创业投资管理有限公司董事、深圳第一创业创新资本管理有限公司董事长兼总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军先生：监事，中共党员，博士研究生，曾任西南证券有限责任公司成都营业部总经理助理、业务总监，经纪业务部副总经理，重庆市国资委副处长、处长兼重庆渝富资产经营管理集团有限公司外部董事、西南期货有限公司董事。现任西南证券股份有限公司董事会秘书、经纪业务事业部执行总裁兼运营管理部总经理、西证创新投资有限公司董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龚飒女士：监事，硕士学历。曾任湘财证券有限责任公司分支机构财务负责人，泰达荷银基金管理有限公司基金事业部副总经理（主持工作），湘财证券有限责任公司稽核经理，交银施罗德基金管理有限公司运营部总经理，银华基金管理股份有限公司运作保障部总监、机构业务部总监。现任公司总经理助理兼养老金业务</w:t>
      </w:r>
      <w:r>
        <w:rPr>
          <w:rFonts w:ascii="宋体" w:hAnsi="宋体"/>
          <w:sz w:val="24"/>
        </w:rPr>
        <w:lastRenderedPageBreak/>
        <w:t>总部总监。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杜永军先生：监事，大专学历。曾任五洲大酒店财务部主管，北京赛特饭店财务部主管、主任、经理助理、副经理、经理，银华基金管理股份有限公司财务行政部总监助理。现任公司财务行政部副总监。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凌宇翔先生：副总经理，工商管理硕士。曾任职于机械工业部、西南证券有限责任公司；2001年起任银华基金管理有限公司督察长。现任公司副总经理。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周毅先生：副总经理，CFA，硕士学位，国家特聘专家。现任银华基金副总经理、银华国际资本总经理，分管指数基金投资、数量化投资、境外投资及国际业务。周毅先生毕业于中国北京大学、美国南卡罗莱纳大学、美国约翰霍普金斯大学，拥有23年证券从业经验。回国加入银华基金前，先后在美国普华永道金融部，巴克莱资本，巴克莱亚太集团等金融机构从事数量化投资工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杨文辉先生：督察长，法学博士。曾任职于北京市水利经济发展有限公司、中国证监会。现任银华基金管理股份有限公司督察长，兼任银华长安资本管理（北京）有限公司董事、银华国际资本管理有限公司董事，深圳市银华公益基金会理事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苏薪茗先生：副总经理，博士研究生，获得中国政法大学法学学士、清华大学法律硕士、英国剑桥大学哲学硕士、中国社会科学院研究生院经济学博士（金融学专业）学位。曾先后担任福建日报社要闻采访部记者，中国银监会政策法规部创新处主任科员，中国银监会创新监管部综合处副处长，中国银监会创新监管部产品创新处处长，中国银监会湖北银监局副局长。现任公司副总经理、银华长安资本管理（北京）有限公司董事、银华国际资本管理有限公司董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郑蓓雷女士：财务负责人，工商管理硕士。曾就职于中国贸促会北京分会、搜狐公司、中国网通公司、西南证券、红塔证券。2011年6月加入银华基金，历任人力资源部副总监、总监、总经理助理。现任公司财务负责人，兼人力资源部总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勇先生：董事会秘书，管理学博士。曾任职于西南证券股份有限公司。现任公司董事会秘书、投资银行部总监、公司办公室副总监，兼任银华国际资本管理有限公司董事、副总经理，银华长安资本管理（北京）有限公司监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2、本基金基金经理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和玮先生,硕士研究生。曾就职于易方达基金管理有限公司。2010年3月加入银华基金。现任多资产投资管理部基金经理兼任投资经理（社保、基本养老）。自</w:t>
      </w:r>
      <w:r>
        <w:rPr>
          <w:rFonts w:ascii="宋体" w:hAnsi="宋体"/>
          <w:sz w:val="24"/>
        </w:rPr>
        <w:lastRenderedPageBreak/>
        <w:t>2018年08月09日起至2021年12月24日担任"银华恒利灵活配置混合型证券投资基金"基金经理,自2018年12月13日起至2020年06月18日兼任"银华盛利混合型发起式证券投资基金"基金经理,自2020年05月14日起兼任"银华沪深股通精选混合型证券投资基金"基金经理,自2022年08月09日起兼任"银华裕利混合型发起式证券投资基金"基金经理。具有从业资格。国籍：中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陈梦舒先生,自2018年12月07日起至2021年02月01日期间担任本基金基金经理。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程桯先生,自2019年03月22日起至2022年08月16日期间担任本基金基金经理。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3、公司投资决策委员会成员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委员会主席：王立新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委员：周毅、姜永康、王华、李晓星、吴伟、董岚枫、倪明、肖侃宁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王立新先生：详见主要人员情况。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周毅先生：详见主要人员情况。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姜永康先生：高级董事总经理，理学硕士。曾就职于中国平安保险（集团）股份有限公司。2005年10月加入银华基金，历任基金经理、总经理助理，现任养老金投资管理部总监、投资经理以及银华长安资本管理（北京）有限公司董事、银华国际资本管理有限公司董事，公司业务副总经理，自2017年9月起担任高级董事总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王华先生：高级董事总经理，经济学硕士。曾就职于西南证券有限责任公司。 2000年10月加入银华基金（筹），历任基金经理、总经理助理，现任公司业务副总经理、主动型股票投资决策专门委员会联席主席、A股基金投资总监、多资产投资管理部总监、社保和基本养老组合投资经理、投资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晓星先生：北京理工大学学士、英国帝国理工大学工程硕士、英国剑桥大学工学硕士。曾就职于ABB（中国）有限公司。2011年3月加入银华基金，历任研究部助理行业研究员、投资管理部基金经理助理、投资管理一部基金经理，现任公司业务副总经理、投资管理一部投资总监、基金经理、投资经理（社保基本养老）、主动型股票投资决策专门委员会联席主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吴伟先生：金融学硕士。曾先后担任中国银行北京市分行副科长、卢森堡分行副经理，中国民生银行资产管理部副总经理、民生理财有限责任公司副总裁等职</w:t>
      </w:r>
      <w:r>
        <w:rPr>
          <w:rFonts w:ascii="宋体" w:hAnsi="宋体"/>
          <w:sz w:val="24"/>
        </w:rPr>
        <w:lastRenderedPageBreak/>
        <w:t>务。现任公司业务副总经理。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董岚枫先生：清华大学工学学士、硕士、博士。曾就职于中国五矿集团。2010年10月加入银华基金，历任研究部助理行业研究员、行业研究员、研究组长、研究部总监助理、副总监，现任公司总经理助理兼研究部总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倪明先生：经济学博士。曾在大成基金管理有限公司从事研究分析工作，历任债券信用分析师、债券基金助理、行业研究员、股票基金助理等职，并曾任大成创新成长混合型证券投资基金基金经理职务。2011年4月加盟银华基金管理有限公司。现任投资管理一部副总监兼基金经理。曾任银华内需精选混合型证券投资基金（LOF）、银华估值优势混合型证券投资基金、银华稳利灵活配置混合型证券投资基金基金经理。现任银华核心价值优选混合型证券投资基金、银华领先策略混合型证券投资基金、银华战略新兴灵活配置定期开放混合型发起式证券投资基金、银华明择多策略定期开放混合型证券投资基金及银华丰享一年持有期混合型证券投资基金基金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肖侃宁先生：硕士研究生。曾在南方证券武汉总部任投资理财部投资经理，天同（万家）基金管理有限公司任天同180指数基金、天同保本基金及万家货币基金基金经理，太平养老保险股份有限公司投资管理中心任投资经理管理企业年金，在长江养老保险股份有限公司历任投资管理部副总经理、总经理、投资总监、公司总经理助理（分管投资和研究工作）。2016年8月加入银华基金管理股份有限公司，现任FOF投资总监、FOF投资管理部总监，兼任银华尊和养老目标日期2035三年持有期混合型基金中基金（FOF）、银华尊和养老目标日期2040三年持有期混合型发起式基金中基金（FOF）、银华尊和养老目标日期2030三年持有期混合型发起式基金中基金（FOF）、银华尊尚稳健养老目标一年持有期混合型发起式基金中基金（FOF）、银华尊颐稳健养老目标一年持有期混合型发起式基金中基金（FOF）、银华尊禧稳健养老目标一年持有期混合型发起式基金中基金（FOF）、银华尊和养老目标日期2045三年持有期混合型发起式基金中基金（FOF）、银华玉衡定投三个月持有期混合型发起式基金中基金（FOF）及银华华利均衡优选一年持有期混合型基金中基金（FOF）基金经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4、上述人员之间均不存在近亲属关系。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 基金管理人的权利与义务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w:t>
      </w:r>
      <w:r>
        <w:rPr>
          <w:rFonts w:ascii="宋体" w:hAnsi="宋体"/>
          <w:sz w:val="24"/>
        </w:rPr>
        <w:lastRenderedPageBreak/>
        <w:t>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（6）依据《基金合同》及有关法律规定监督基金托管人，如认为基金托管人违反了《基金合同》及国家有关法律规定，应呈报中国证监会和其他监管部门，并采取必要措施保护基金投资人的利益；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（11）在《基金合同》约定的范围内，拒绝或暂停受理申购、赎回和转换申请；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（12）依照法律法规为基金的利益对被投资公司行使股东权利，为基金的利益行使因基金财产投资于证券/期货所产生的权利；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（15）选择、更换律师事务所、会计师事务所、证券/期货经纪商或其他为基金提供服务的外部机构；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（16）在符合有关法律、法规的前提下，制订和调整有关基金认购、申购、赎回、转换、非交易过户、转托管等业务的规则；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w:t>
      </w:r>
      <w:r>
        <w:rPr>
          <w:rFonts w:ascii="宋体" w:hAnsi="宋体"/>
          <w:sz w:val="24"/>
        </w:rPr>
        <w:lastRenderedPageBreak/>
        <w:t>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（1）依法募集资金，办理或者委托经中国证监会认定的其他机构代为办理基金份额的发售、申购、赎回和登记事宜；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（5）建立健全内部风险控制、监察与稽核、财务管理及人事管理等制度，保证所管理的基金财产和基金管理人的财产相互独立，对所管理的不同基金分别管理，分别记账，进行证券/期货投资；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法律法规或监管机构另有规定或要求外，在基金信息公开披露前应予保密，不向他人泄露，因审计、法律等外部专业顾问提供服务而向其提供的情况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（16）按规定保存基金财产管理业务活动的会计账册、报表、记录和其他相关资料15年以上；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（24）基金管理人在募集期间未能达到基金的备案条件，《基金合同》不能生效，基金管理人承担全部募集费用，将已募集资金并加计银行同期活期存款利息（税后）在基金募集期结束后30日内退还基金认购人；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（四）基金管理人承诺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1.本基金管理人将根据基金合同的规定，按照招募说明书列明的投资目标、策略及限制全权处理本基金的投资。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2.本基金管理人不从事违反《中华人民共和国证券法》的行为，并建立健全内部控制制度，采取有效措施，防止违反《中华人民共和国证券法》行为的发生。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3.本基金管理人不从事违反《基金法》的行为，并建立健全内部控制制度，采</w:t>
      </w:r>
      <w:r>
        <w:rPr>
          <w:rFonts w:ascii="宋体" w:hAnsi="宋体"/>
          <w:sz w:val="24"/>
        </w:rPr>
        <w:lastRenderedPageBreak/>
        <w:t>取有效措施，防止下列行为的发生：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（1）以基金的名义使用不属于基金名下的资金买卖证券；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（2）动用银行信贷资金从事证券买卖；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（3）违反规定将基金资产向他人贷款或者提供担保；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（4）从事证券信用交易（法律法规、基金合同和中国证监会另有规定的除外）；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（5）以基金资产进行房地产投资；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（6）从事有可能使基金承担无限责任的投资；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（7）从事证券承销行为；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（8）违反证券交易业务规则，利用对敲、倒仓等行为来操纵和扰乱市场价格；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（9）进行高位接盘、利益输送等损害基金份额持有人利益的行为；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（10）通过股票投资取得对上市公司的控制权；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（11）因基金投资股票而参加上市公司股东大会的、与上市公司董事会或其他持有5%以上投票权的股东恶意串通，致使股东大会表决结果侵犯社会公众股东的合法利益；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（12）法律、法规及监管机关规定禁止从事的其他行为。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4.本基金管理人将加强人员管理，强化职业操守，督促和约束员工遵守国家有关法律、法规及行业规范，诚实信用、勤勉尽责，不从事以下行为：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（1）越权或违规经营，违反基金合同或托管协议；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（2）故意损害基金份额持有人或其他基金相关机构的合法利益；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（3）在向中国证监会报送的材料中弄虚作假；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（4）拒绝、干扰、阻挠或严重影响中国证监会依法监管；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（5）玩忽职守、滥用职权，不按照规定履行职责；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（6）泄漏在任职期间知悉的有关证券、基金的商业秘密、尚未依法公开的基金投资内容、基金投资计划等信息，或利用该信息从事或者明示、暗示他人从事相关的交易活动；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（7）其他法律、行政法规以及中国证监会禁止的行为。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5.基金经理承诺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w:t>
      </w:r>
      <w:r>
        <w:rPr>
          <w:rFonts w:ascii="宋体" w:hAnsi="宋体"/>
          <w:sz w:val="24"/>
        </w:rPr>
        <w:lastRenderedPageBreak/>
        <w:t>人谋取最大利益；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（2）不利用职务之便为自己及其代理人、代表人、受雇人或任何第三人谋取利益；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（3）不泄漏在任职期间知悉的有关证券、基金的商业秘密、尚未依法公开的基金投资内容、基金投资计划等信息，或利用该信息从事或者明示、暗示他人从事相关的交易活动；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（五）基金管理人的风险管理体系和内部控制制度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1.风险管理体系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运作过程中面临的风险主要包括市场风险、信用风险、流动性风险、操作或技术风险、合规性风险、声誉风险和外部风险。针对上述各种风险，基金管理人建立了一套完整的风险管理体系，具体包括以下内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（1）建立风险管理环境。具体包括制定风险管理战略、目标，设置相应的组织机构，配备相应的人力资源与技术系统，设定风险管理的时间范围与空间范围等内容。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（2）识别风险。辨识组织系统与业务流程中存在什么样的风险，为什么会存在以及如何引起风险。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（3）分析风险。检查存在的控制措施，分析风险发生的可能性及其引起的后果。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度量风险。评估风险水平的高低，既有定性的度量手段，也有定量的度量手段。定性的度量是把风险水平划分为若干级别，每一种风险按其发生的可能性与后果的严重程度分别进入相应的级别。定量的方法则是设计一些风险指标，测量其数值的大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处理风险。将风险水平与既定的标准相对比，对于那些级别较低的风险，则承担它，但需加以监控。而对较为严重的风险，则实施一定的管理计划，对于一些后果极其严重的风险，则准备相应的应急处理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（6）监视与检查。对已有的风险管理系统要监视及评价其管理绩效，在必要时适时加以改变。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（7）报告与咨询。建立风险管理的报告系统，使公司股东、公司董事会、公司高级管理人员及监管部门了解公司风险管理状况，并寻求咨询意见。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2.内部控制制度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（1）内部控制的原则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1）全面性原则。内部控制制度覆盖公司的各项业务、各个部门和各级人员，并渗透到决策、执行、监督、反馈等各个经营环节。</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2）独立性原则。公司设立独立的督察长与监察稽核部门，并使它们保持高度的独立性与权威性。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3）相互制约原则。公司部门和岗位的设置权责分明、相互牵制，并通过切实可行的相互制衡措施来消除内部控制中的盲点。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4）有效性原则。公司的内部风险控制工作必须从实际出发，主要通过对工作流程的控制，进而达到对各项经营风险的控制。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5）防火墙原则。公司的投资管理、基金运作、计算机技术系统等相关部门，在物理上和制度上适当隔离。对因业务需要知悉内幕信息的人员，制定严格的批准程序和监督处罚措施。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6）适时性原则。公司内部风险控制制度的制定，应具有前瞻性，并且必须随着公司经营战略、经营方针、经营理念等内部环境的变化和国家法律、法规、政策制度等外部环境的改变及时进行相应的修改和完善。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（2）内部控制的主要内容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1）控制环境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董事会重视建立完善的公司治理结构与内部控制体系。基金管理人在董事会下设立了风险控制委员会，负责针对公司在经营管理和基金运作中的风险进行研究并制定相应的控制制度。在特殊情况下，风险控制委员会可依据其职权，在上报董事会的同时，对公司业务进行一定的干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公司管理层在总经理领导下，认真执行董事会确定的内部控制战略，为了有效贯彻公司董事会制定的经营方针及发展战略，设立了投资决策委员会，就基金投资等发表专业意见及建议。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此外，公司设有督察长，组织指导公司的监察与稽核工作，对公司和基金运作的合法性、合规性进行全面检查与监督，发生重大合规事件时向公司董事长和中国证监会报告。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2）风险评估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公司风险控制人员定期评估公司风险状况，范围包括所有能对经营目标产生负</w:t>
      </w:r>
      <w:r>
        <w:rPr>
          <w:rFonts w:ascii="宋体" w:hAnsi="宋体"/>
          <w:sz w:val="24"/>
        </w:rPr>
        <w:lastRenderedPageBreak/>
        <w:t>面影响的内部和外部因素，评估这些因素对公司总体经营目标产生影响的程度及可能性，并将评估报告报公司董事会及高层管理人员。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3）操作控制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内部组织结构的设计方面，体现部门之间职责有分工，但部门之间又相互合作与制衡的原则。基金投资管理、基金运作、市场等业务部门有明确的授权分工，各部门的操作相互独立，并且有独立的报告系统。各业务部门之间相互核对、相互牵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各业务部门内部工作岗位分工合理、职责明确，形成相互检查、相互制约的关系，以减少舞弊或差错发生的风险，各工作岗位均制定有相应的书面管理制度。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在明确的岗位责任制度基础上，设置科学、合理、标准化的业务操作流程，每项业务操作有清晰、书面化的操作手册，同时，规定完备的处理手续，保存人员进行处理。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4）信息与沟通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公司建立了内部办公自动化信息系统与业务汇报体系，通过建立有效的信息交流渠道，保证公司员工及各级管理人员可以充分了解与其职责相关的信息，保证信息及时送达适当的人员进行处理。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5）监督与内部稽核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设立了独立于各业务部门的监察稽核部，其中监察稽核人员履行内部稽核职能，检查、评价公司内部控制制度合法合规性。监察稽核人员具有相对的独立性，定期出具合规报告，报公司督察长、董事会及中国证监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（3）基金管理人关于内部控制制度的声明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1）基金管理人确知建立、实施和维持内部控制制度是基金管理人董事会及管理层的责任；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2）上述关于内部控制制度的披露真实、准确；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3）基金管理人承诺将根据市场环境的变化及基金管理人的发展不断完善内部控制制度。</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6" w:name="_Toc139637436"/>
      <w:r>
        <w:rPr>
          <w:rFonts w:ascii="宋体" w:hAnsi="宋体"/>
          <w:sz w:val="30"/>
        </w:rPr>
        <w:lastRenderedPageBreak/>
        <w:t>四、基金托管人</w:t>
      </w:r>
      <w:bookmarkEnd w:id="6"/>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（一）基金托管人情况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基金托管资格批文及文号：中国证监会证监基字[1998]23号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联系人：秦一楠</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中国农业银行是中国第一批开展托管业务的国内商业银行，经验丰富，服务优质，业绩突出，2004年被英国《全球托管人》评为中国“最佳托管银行”。2007年</w:t>
      </w:r>
      <w:r>
        <w:rPr>
          <w:rFonts w:ascii="宋体" w:hAnsi="宋体"/>
          <w:sz w:val="24"/>
        </w:rPr>
        <w:lastRenderedPageBreak/>
        <w:t>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2022年在权威杂志《财资》年度评选中首次荣获“中国最佳保险托管银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证券投资基金托管部于1998年5月经中国证监会和中国人民银行批准成立，目前内设风险合规部/综合管理部、业务管理部、客户一部、客户二部、客户三部、客户四部、系统与信息管理部、营运管理部、营运一部、营运二部，拥有先进的安全防范设施和基金托管业务系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托管业务部现有员工近283名，其中具有高级职称的专家60名，服务团队成员专业水平高、业务素质好、服务能力强，高级管理层均有20年以上金融从业经验和高级技术职称，精通国内外证券市场的运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截止到2023年3月31日，中国农业银行托管的封闭式证券投资基金和开放式证券投资基金共808只。</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（二）、基金托管人的内部风险控制制度说明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2、内部控制组织结构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（三）、基金托管人对基金管理人运作基金进行监督的方法和程序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当基金出现异常交易行为时，基金托管人应当针对不同情况进行以下方式的处理：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1、电话提示。对媒体和舆论反映集中的问题，电话提示基金管理人；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2、书面警示。对本基金投资比例接近超标、资金头寸不足等问题，以书面方式对基金管理人进行提示；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3、书面报告。对投资比例超标、清算资金透支以及其他涉嫌违规交易等行为，书面提示有关基金管理人并报中国证监会。</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7" w:name="_Toc139637437"/>
      <w:r>
        <w:rPr>
          <w:rFonts w:ascii="宋体" w:hAnsi="宋体"/>
          <w:sz w:val="30"/>
        </w:rPr>
        <w:lastRenderedPageBreak/>
        <w:t>五、相关服务机构</w:t>
      </w:r>
      <w:bookmarkEnd w:id="7"/>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（1）银华基金管理股份有限公司北京直销中心</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北京市东城区东长安街1号东方广场东方经贸城C2办公楼15层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010-58162950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010-58162951</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展璐</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（2）银华基金管理股份有限公司网上直销交易系统</w:t>
      </w:r>
    </w:p>
    <w:tbl>
      <w:tblPr>
        <w:tblW w:w="5000" w:type="pct"/>
        <w:tblLayout w:type="fixed"/>
        <w:tblCellMar>
          <w:left w:w="0" w:type="dxa"/>
          <w:right w:w="0" w:type="dxa"/>
        </w:tblCellMar>
        <w:tblLook w:val="0000" w:firstRow="0" w:lastRow="0" w:firstColumn="0" w:lastColumn="0" w:noHBand="0" w:noVBand="0"/>
      </w:tblPr>
      <w:tblGrid>
        <w:gridCol w:w="1721"/>
        <w:gridCol w:w="6929"/>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网上交易网址</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https://trade.yhfund.com.cn/yhxntrade</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移动端站点</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请到基金管理人官方网站或各大移动应用市场下载“银华生利宝”手机APP或关注“银华基金”官方微信</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客户服务电话</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010-85186558，4006783333</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投资人可以通过基金管理人网上直销交易系统办理本基金的开户和认购手续，具体交易细则请参阅基金管理人网站公告。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2.其他销售机构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（1）上海农村商业银行股份有限公司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上海市浦东新区银城中路8号15-20楼、22-27楼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冀光恒</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021-962999；400-696-2999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www.srcb.com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（2）中国农业银行股份有限公司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北京市东城区建国门内大街69号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谷澍</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95599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www.abchina.com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（3）江苏银行股份有限公司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南京市中华路26号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夏平</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95319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www.jsbchina.cn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（4）招商银行股份有限公司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深圳市福田区深南大道7088号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缪建民</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95555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www.cmbchina.com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（5）宁波银行股份有限公司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宁波市鄞州区宁南南路700号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陆华裕</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95574</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www.nbcb.com.cn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（6）兴业银行股份有限公司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福州市湖东路154号中山大厦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吕家进</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95561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www.cib.com.cn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（7）爱建证券有限责任公司</w:t>
      </w:r>
    </w:p>
    <w:tbl>
      <w:tblPr>
        <w:tblW w:w="5000" w:type="pct"/>
        <w:tblLayout w:type="fixed"/>
        <w:tblCellMar>
          <w:left w:w="0" w:type="dxa"/>
          <w:right w:w="0" w:type="dxa"/>
        </w:tblCellMar>
        <w:tblLook w:val="0000" w:firstRow="0" w:lastRow="0" w:firstColumn="0" w:lastColumn="0" w:noHBand="0" w:noVBand="0"/>
      </w:tblPr>
      <w:tblGrid>
        <w:gridCol w:w="1721"/>
        <w:gridCol w:w="6929"/>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上海市世纪大道1600号32楼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钱华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www.ajzq.com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（8）中国银河证券股份有限公司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北京市丰台区西营街8号院1号楼7至18层101</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陈亮</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400-888-8888；95551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www.chinastock.com.cn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（9）中信证券股份有限公司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广东省深圳市福田区中心三路8号卓越时代广场（二期）北座</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张佑君</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95548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www.cs.ecitic.com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（10）中信期货有限公司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深圳市福田区中心三路8号卓越时代广场（二期）北座13层1301-1305室、14层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张皓</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400-990-8826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www.citicsf.com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（11）粤开证券股份有限公司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广州经济技术开发区科学大道60号开发区金控中心21、22、23层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严亦斌</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95564</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http://www.ykzq.com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（12）天风证券股份有限公司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湖北省武汉市东湖新技术开发区关东园路2号高科大厦4楼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余磊</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95391；400-800-5000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www.tfzq.com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（13）华龙证券股份有限公司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兰州市城关区东岗西路638号兰州财富中心21楼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祁建邦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95368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www.hlzq.com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（14）华福证券有限责任公司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福州市五四路157号新天地大厦7、8层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黄金琳</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96326（福建省外请先拨0591）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www.hfzq.com.cn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（15）华鑫证券有限责任公司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深圳市福田区莲花街道福中社区深南大道2008号中国凤凰大厦1栋20C-1房</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俞洋</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95323；400-109-9918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www.cfsc.com.cn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（16）国都证券股份有限公司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北京市东城区东直门南大街3号国华投资大厦9层、10层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翁振杰</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400-818-8118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www.guodu.com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（17）光大证券股份有限公司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上海市静安区新闸路1508号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刘秋明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95525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www.ebscn.com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（18）东吴证券股份有限公司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苏州工业园区星阳街5号东吴证券大厦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范力</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95330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http://www.dwzq.com.cn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（19）安信证券股份有限公司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深圳市福田区福田街道福华一路119号安信金融大厦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黄炎勋</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95517</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http://www.essence.com.cn/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（20）东海证券股份有限公司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江苏省常州市延陵西路23号投资广场18层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钱俊文</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95531；400-888-8588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http://www.longone.com.cn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（21）东北证券股份有限公司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长春市生态大街6666号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李福春</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95360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www.nesc.cn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（22）第一创业证券股份有限公司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深圳市福田区福华一路115号投行大厦20楼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刘学民</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95358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www.firstcapital.com.cn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（23）大同证券有限责任公司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山西省大同市平城区迎宾街15号桐城中央21层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董祥</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400-712-1212</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www.dtsbc.com.cn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（24）长江证券股份有限公司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武汉市新华路特8号长江证券大厦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李新华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95579；400-8888-999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www.95579.com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（25）渤海证券股份有限公司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天津市经济技术开发区第二大街42号写字楼101室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王春峰</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400-651-5988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www.ewww.com.cn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（26）中信证券(山东)有限责任公司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青岛市崂山区深圳路222号1号楼2001</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陈佳春</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95548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sd.citics.com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（27）西部证券股份有限公司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西安市新城区东新街319号8幢10000室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徐朝晖</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95582</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www.westsecu.com.cn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（28）华安证券股份有限公司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安徽省合肥市政务文化新区天鹅湖路198号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章宏韬</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95318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www.hazq.com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（29）世纪证券有限责任公司</w:t>
      </w:r>
    </w:p>
    <w:tbl>
      <w:tblPr>
        <w:tblW w:w="5000" w:type="pct"/>
        <w:tblLayout w:type="fixed"/>
        <w:tblCellMar>
          <w:left w:w="0" w:type="dxa"/>
          <w:right w:w="0" w:type="dxa"/>
        </w:tblCellMar>
        <w:tblLook w:val="0000" w:firstRow="0" w:lastRow="0" w:firstColumn="0" w:lastColumn="0" w:noHBand="0" w:noVBand="0"/>
      </w:tblPr>
      <w:tblGrid>
        <w:gridCol w:w="1721"/>
        <w:gridCol w:w="6929"/>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深圳市前海深港合作区南山街道桂湾五路128号前海深港基金小镇对冲基金中心406</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李强</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1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www.csco.com.cn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（30）中信建投证券股份有限公司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北京市朝阳区安立路66号4号楼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王常青</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400-888-8108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www.csc108.com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（31）中信证券华南股份有限公司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广州市天河区珠江西路5号广州国际金融中心主塔19层、20层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胡伏云</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95396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www.gzs.com.cn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（32）国泰君安证券股份有限公司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中国（上海）自由贸易试验区商城路618号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贺青</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95521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www.gtja.com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（33）江海证券有限公司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黑龙江省哈尔滨市香坊区赣水路56号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赵洪波</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956007</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www.jhzq.com.cn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（34）民生证券股份有限公司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北京市东城区建国门内大街28号民生金融中心A座16-18层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余政</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400-619-8888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www.mszq.com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（35）东方财富证券股份有限公司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西藏自治区拉萨市柳梧新区国际总部城10栋楼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曾鑫杰</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95357</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www.18.cn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（36）北京增财基金销售有限公司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北京市西城区南礼士路66号建威大厦1208室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闫丽敏</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400-001-8811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www.zcvc.com.cn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（37）中国国际期货股份有限公司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北京市朝阳区光华路14号中期大厦B座4层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蔡婧</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95162</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www.cifco.net</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（38）一路财富(北京)基金销售有限公司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北京市海淀区奥北科技园-国泰大厦9层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董宣</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400-0011-566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www.yilucaifu.com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（39）深圳众禄基金销售股份有限公司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深圳市罗湖区笋岗街道笋西社区梨园路8号HALO广场一期四层12-13室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龚江江</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4006-788-887</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www.zlfund.cn及www.jjmmw.com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（40）上海陆金所基金销售有限公司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上海市浦东新区陆家嘴1333号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宁博宇</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400-821-9031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www.lufunds.com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（41）上海联泰基金销售有限公司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上海市长宁区金钟路658弄2号楼B座6楼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兰敏</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4000-466-788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www.66liantai.com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（42）上海利得基金销售有限公司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上海市虹口区东大名路1098号浦江国际金融广场53层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张佳慧</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400-032-5885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www.leadfund.com.cn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（43）上海长量基金销售有限公司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上海市浦东新区东方路1267号陆家嘴金融服务广场二期11层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陆倩</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400-820-2899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www.erichfund.com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（44）浦领基金销售有限公司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北京市朝阳区望京东园四区2号楼10层1001号04室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李艳</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400-012-5899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www.zscffund.com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（45）诺亚正行基金销售有限公司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上海市杨浦区长阳路1687号2号楼2楼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李娟</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400-821-5399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www.noah-fund.com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（46）嘉实财富管理有限公司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北京市朝阳区建国门外大街21号北京国际俱乐部C座写字楼11层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郭希璆</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400-021-8850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www.harvestwm.cn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（47）海银基金销售有限公司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上海市浦东新区东方路1217号陆家嘴金融服务广场16楼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吴力群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400-808-1016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www.fundhaiyin.com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（48）北京钱景基金销售有限公司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北京市海淀区海淀南路13号楼6层616室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白皓</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400-678-5095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www.niuji.net</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（49）北京汇成基金销售有限公司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北京市西城区西直门外大街1号院2号楼19层19C13</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宋子琪</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400-619-9059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www.hcjijin.com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（50）北京展恒基金销售股份有限公司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北京市朝阳区德胜门外华严北里2号民建大厦6层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李晓芳</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400-888-6661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www.myfund.com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（51）浙江同花顺基金销售有限公司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杭州市余杭区五常街道同顺街18号 同花顺大楼4层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董一锋</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952555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www.5ifund.com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（52）上海万得基金销售有限公司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上海自由贸易试验区福山路33号11楼B座</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徐亚丹</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400-821-0203</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www.520fund.com.cn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（53）上海挖财基金销售有限公司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中国(上海)自由贸易试验区杨高南路759号18层03单元</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毛善波</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400-711-8718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www.wacaijijin.com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（54）上海通华财富资产管理有限公司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上海市浦东新区陆家嘴世纪金融广场杨高南路799号3号楼9楼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云澎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95156转6或 400-66-95156转6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www.tonghuafund.com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（55）上海华夏财富投资管理有限公司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北京市西城区金融大街33号通泰大厦B座8层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张静怡</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400-817-5666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www.amcfortune.com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（56）上海大智慧基金销售有限公司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上海自由贸易试验区杨高南路428号1号楼1102单元</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施燕华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021-20292031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www.gw.com.cn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（57）凤凰金信(海口)基金销售有限公司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北京市朝阳区紫月路18号院朝来高科技产业园18号楼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张旭</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4008105919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www.fengfd.com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（58）北京雪球基金销售有限公司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北京市朝阳区创远路34号院6号楼15层1501室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丁晗</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400-061-8518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www.danjuanapp.com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（59）天津国美基金销售有限公司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北京市朝阳区霄云路26号鹏润大厦B座19层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杨雪</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400-111-0889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www.gomefund.com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（60）深圳市新兰德证券投资咨询有限公司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北京市西城区金融大街35号国际企业大厦C座9层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张燕</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4008507771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t.jrj.com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（61）上海天天基金销售有限公司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上海市徐汇区宛平南路88号金座东方财富大厦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屠彦洋</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400-1818-188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www.1234567.com.cn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（62）上海好买基金销售有限公司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上海市浦东新区浦东南路1118号鄂尔多斯国际大厦9楼（200120）</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罗梦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400-700-9665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www.ehowbuy.com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（63）南京苏宁基金销售有限公司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南京市玄武区苏宁大道1-5号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王旋</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95177</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www.suning.com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（64）蚂蚁(杭州)基金销售有限公司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浙江省杭州市西湖区西溪路556号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韩爱彬</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95188-8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www.fund123.cn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（65）京东肯特瑞基金销售有限公司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北京市通州区亦庄经济开发区科创十一街18号院京东集团总部A座15层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隋斌</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95118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fund.jd.com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（66）北京虹点基金销售有限公司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北京市朝阳区工人体育馆北路甲2号盈科中心B座裙楼二层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牛亚楠</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400-618-0707</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www.hongdianfund.com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（67）北京中植基金销售有限公司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北京市朝阳区东三环中路20号乐成中心A座23层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张敏</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400-786-8868-5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www.chtfund.com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（68）北京创金启富基金销售有限公司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北京市西城区民丰胡同31号5号楼215A</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杨文龙</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010-88067525</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www.5irich.com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（69）上海基煜基金销售有限公司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上海市浦东新区银城中路488号太平金融大厦1503室</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王步提</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400-820-5369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https://www.jiyufund.com.cn/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（70）宜信普泽(北京)基金销售有限公司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北京市朝阳区光华路7号楼20层20A1、20A2单元</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魏晨</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400-6099-200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www.yixinfund.com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（71）珠海盈米基金销售有限公司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广州市海珠区琶洲大道东1号保利国际广场南塔12楼B1201-1203</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黄敏嫦</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020-89629066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www.yingmi.cn</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（72）中国人寿保险股份有限公司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中国北京市西城区金融大街16号</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王滨</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95519</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www.e-chinalife.com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（73）腾安基金销售(深圳)有限公司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深圳市南山区海天二路33号腾讯滨海大厦15层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谭广锋</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95017（转1转8）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www.tenganxinxi.com或www.txfund.com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（74）北京度小满基金销售有限公司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北京市海淀区西北旺东路10号院西区4号楼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孙博超</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95055-4</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www.baiyingfund.com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（75）泰信财富基金销售有限公司</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注册地址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北京市朝阳区建国路甲92号-4至24层内10层1012</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张虎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客服电话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400-004-8821</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网址</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www.taixincf.com</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（以上排名不分先后）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基金管理人可根据《基金法》、《运作办法》、《销售办法》和基金合同等的规定，选择其他符合要求的机构销售本基金，并在基金管理人网站公示。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名称</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银华基金管理股份有限公司</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住所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深圳市福田区深南大道6008号特区报业大厦19层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lastRenderedPageBreak/>
              <w:t>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北京市东城区东长安街1号东方广场东方经贸城C2办公楼15层</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王珠林</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伍军辉</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010-58163000</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010-58162824</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名称</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上海市通力律师事务所</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住所及办公地址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上海市银城中路68号时代金融中心19楼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负责人</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韩炯</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陈颖华</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021-31358666</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021-31358600</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经办律师</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黎明、陈颖华</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tbl>
      <w:tblPr>
        <w:tblW w:w="5000" w:type="pct"/>
        <w:tblLayout w:type="fixed"/>
        <w:tblCellMar>
          <w:left w:w="0" w:type="dxa"/>
          <w:right w:w="0" w:type="dxa"/>
        </w:tblCellMar>
        <w:tblLook w:val="0000" w:firstRow="0" w:lastRow="0" w:firstColumn="0" w:lastColumn="0" w:noHBand="0" w:noVBand="0"/>
      </w:tblPr>
      <w:tblGrid>
        <w:gridCol w:w="1721"/>
        <w:gridCol w:w="2152"/>
        <w:gridCol w:w="2152"/>
        <w:gridCol w:w="2625"/>
      </w:tblGrid>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名称</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德勤华永会计师事务所(特殊普通合伙)</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住所及办公地址</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上海市黄浦区延安东路222号30楼</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法定代表人</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曾顺福</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联系人</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杨婧</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电话</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021-61418888</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传真</w:t>
            </w:r>
          </w:p>
        </w:tc>
        <w:tc>
          <w:tcPr>
            <w:tcW w:w="5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021-63350003</w:t>
            </w:r>
          </w:p>
        </w:tc>
      </w:tr>
      <w:tr w:rsidR="00BE2C03">
        <w:trPr>
          <w:cantSplit/>
          <w:trHeight w:val="375"/>
        </w:trPr>
        <w:tc>
          <w:tcPr>
            <w:tcW w:w="4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经办注册会计师</w:t>
            </w:r>
          </w:p>
        </w:tc>
        <w:tc>
          <w:tcPr>
            <w:tcW w:w="161" w:type="dxa"/>
            <w:gridSpan w:val="3"/>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郝琪、杨婧</w:t>
            </w:r>
          </w:p>
        </w:tc>
      </w:tr>
    </w:tbl>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8" w:name="_Toc139637438"/>
      <w:r>
        <w:rPr>
          <w:rFonts w:ascii="宋体" w:hAnsi="宋体"/>
          <w:sz w:val="30"/>
        </w:rPr>
        <w:lastRenderedPageBreak/>
        <w:t>六、基金的募集</w:t>
      </w:r>
      <w:bookmarkEnd w:id="8"/>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（一）基金募集的依据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本基金由基金管理人依照《基金法》、《运作办法》、《销售办法》、《信息披露办法》、基金合同及其他有关规定，经中国证监会2018年7月24日证监许可【2018】1177号准予募集注册。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本基金已于2018年11月30日结束募集，募集期净认购金额及利息结转的基金份额共计13,441,800.22份，有效认购户数为446户。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（二）基金类别</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混合型证券投资基金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（三）基金的运作方式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契约型开放式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（四）基金存续期限</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不定期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之日起三年后的对应自然日，若基金资产规模低于2亿元，基金合同应当按照基金合同约定的程序进行清算并终止，且不得通过召开基金持有人大会的方式延续。若届时的法律法规或中国证监会规定发生变化，上述终止规定被取消、更改或补充时，则本基金可以参照届时有效的法律法规或中国证监会规定执行。</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9" w:name="_Toc139637439"/>
      <w:r>
        <w:rPr>
          <w:rFonts w:ascii="宋体" w:hAnsi="宋体"/>
          <w:sz w:val="30"/>
        </w:rPr>
        <w:lastRenderedPageBreak/>
        <w:t>七、基金合同的生效</w:t>
      </w:r>
      <w:bookmarkEnd w:id="9"/>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本基金基金合同生效日为2018年12月7日。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基金合同》生效之日起满三年后本基金继续存续的，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之日起三年后的对应自然日，若基金资产规模低于2亿元，基金合同应当按照基金合同约定的程序进行清算并终止，且不得通过召开基金份额持有人大会的方式延续。若届时的法律法规或中国证监会规定发生变化，上述终止规定被取消、更改或补充时，则本基金可以参照届时有效的法律法规或中国证监会规定执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法律法规或中国证监会另有规定时，从其规定。</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0" w:name="_Toc139637440"/>
      <w:r>
        <w:rPr>
          <w:rFonts w:ascii="宋体" w:hAnsi="宋体"/>
          <w:sz w:val="30"/>
        </w:rPr>
        <w:lastRenderedPageBreak/>
        <w:t>八、基金份额的申购与赎回</w:t>
      </w:r>
      <w:bookmarkEnd w:id="10"/>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（一）申购和赎回的场所</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与赎回将通过销售机构进行。具体的销售机构名单详见本招募说明书“五、相关服务机构”或其他相关公告。基金管理人可根据情况变更或增减销售机构，并在基金管理人网站公示。若基金管理人或其指定的其他销售机构开通电话、传真或网上等交易方式，投资人可通过上述方式进行申购与赎回。投资人应当在销售机构办理基金销售业务的营业场所或按销售机构提供的其他方式办理基金份额的申购与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（二）基金销售对象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符合法律法规规定的可投资于证券投资基金的个人投资者、机构投资者、合格境外投资者以及法律法规或中国证监会允许购买证券投资基金的其他投资人。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（三）申购和赎回的开放日及时间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开放日的具体业务办理时间为上海证券交易所、深圳证券交易所的正常交易日的交易时间，若该工作日为非港股通交易日，则本基金不开放；但基金管理人根据法律法规、中国证监会的要求或基金合同的规定公告暂停申购、赎回时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期货交易市场、证券/期货交易所交易时间变更或其他特殊情况，基金管理人有权视情况对前述开放日及开放时间进行相应的调整，但应在实施日前依照《信息披露办法》的有关规定在规定媒介上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本基金自2019年3月4日起开始办理申购、赎回业务。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（四）申购与赎回的原则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1、“未知价”原则，即申购、赎回价格以受理申请当日收市后计算的基金份额净值为基准进行计算；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2、“金额申购、份额赎回”原则，即申购以金额申请，赎回以份额申请；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3、当日的申购与赎回申请可以在基金管理人规定的时间以内撤销，在当日业务办理时间结束后不得撤销；</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4、赎回遵循“先进先出”原则，即按照投资人持有基金份额登记日期的先后次序进行顺序赎回。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基金管理人可在法律法规允许的情况下，对上述原则进行调整。基金管理人必须在新规则开始实施前依照《信息披露办法》的有关规定在规定媒介上公告。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（五）申购与赎回的程序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办理申购、赎回等业务时应提交的文件和办理手续、办理时间、处理规则等，在遵守基金合同和招募说明书规定的前提下，以各销售机构的具体规定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投资人申购基金份额时，必须按销售机构规定的方式全额交付申购款项。投资人交付申购款项，申购成立；登记机构确认基金份额时，申购生效。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递交赎回申请，赎回成立；登记机构确认赎回时，赎回生效。投资人赎回申请生效后，基金管理人将通过登记机构及其相关基金销售机构在T＋7日(包括该日)内将赎回款项划往基金份额持有人银行账户，但中国证监会另有规定时除外。遇证券、期货交易所或交易市场数据传输延迟、通讯系统故障、银行数据交换系统故障或其它非基金管理人及基金托管人所能控制的因素影响业务处理流程时，赎回款项顺延至上述因素消除的下一个工作日划出。在发生巨额赎回或基金合同载明的其他暂停赎回或延缓支付赎回款项的情形时，款项的支付办法参照基金合同有关条款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投资人已缴付的申购款项本金将退还给投资人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销售机构对申购、赎回申请的受理并不代表申请一定成功，而仅代表销售机构确实接收到申购、赎回申请，申购与赎回申请的确认以登记机构的确认结果为准。对于申请的确认情况，投资人应及时查询并妥善行使合法权利。因投资人怠于履行该项查询等各项义务，致使其相关权益受损的，基金管理人、基金托管人、其他基金销售机构不承担由此造成的损失或不利后果。如因申请未得到登记机构的确认而造成的损失，由投资人自行承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在法律法规允许的范围内，基金管理人可根据业务规则，对上述业务办理时间进行调整并将于开始实施前按照有关规定公告。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（六）申购金额和赎回份额的限制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本基金其他销售机构的销售网点及网上直销交易系统进行申购时，每个基金账户首笔申购的最低金额为人民币10元，每笔追加申购的最低金额为人民币10元。直销中心办理业务时以其相关规则为准，基金管理人直销机构或各销售机构对最低申购限额及交易级差另有规定的，从其规定，但不得低于上述最低申购金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持有人在销售机构办理赎回时，每笔赎回申请的最低份额为10份基金份额；基金份额持有人可将其全部或部分基金份额赎回，基金份额持有人办理某笔赎回业务时或办理某笔赎回业务后在销售机构（网点）单个交易账户保留的基金份额余额不足10份的，余额部分基金份额必须一同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3.投资人将所申购的基金份额当期分配的基金收益转为基金份额时，不受最低申购金额的限制。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有权对单个投资人累计持有的基金份额上限或累计持有的基金份额占基金份额总数的比例上限进行限制。如本基金单一投资人（基金管理人、基金管理人高级管理人员或基金经理作为发起资金提供方除外）累计申购的基金份额数达到或者超过基金总份额的50%，基金管理人有权对该投资人的申购申请进行限制。基金管理人接受某笔或者某些申购申请有可能导致单一投资人（基金管理人、基金管理人高级管理人员或基金经理作为发起资金提供方除外）持有基金份额的比例达到或者超过50%，或者变相规避前述50%比例要求的，基金管理人有权拒绝该等全部或者部分申购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接受申购申请对存量基金份额持有人利益构成潜在重大不利影响时，基金管理人应当采取设定单一投资人申购金额上限或基金单日净申购比例上限、拒绝大额申购、暂停基金申购等措施，切实保护存量基金份额持有人的合法权益。具体</w:t>
      </w:r>
      <w:r>
        <w:rPr>
          <w:rFonts w:ascii="宋体" w:hAnsi="宋体"/>
          <w:sz w:val="24"/>
        </w:rPr>
        <w:lastRenderedPageBreak/>
        <w:t>规定请参见基金管理人发布的相关公告。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6.基金管理人可在法律法规允许的情况下，调整上述规定申购金额和赎回份额的数量限制。基金管理人必须在调整实施前依照《信息披露办法》的有关规定在规定媒介上公告。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（七）申购和赎回的费用及其用途</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投资人申购本基金基金份额所适用的申购费率如下所示：</w:t>
      </w:r>
    </w:p>
    <w:tbl>
      <w:tblPr>
        <w:tblW w:w="5000" w:type="pct"/>
        <w:tblLayout w:type="fixed"/>
        <w:tblCellMar>
          <w:left w:w="0" w:type="dxa"/>
          <w:right w:w="0" w:type="dxa"/>
        </w:tblCellMar>
        <w:tblLook w:val="0000" w:firstRow="0" w:lastRow="0" w:firstColumn="0" w:lastColumn="0" w:noHBand="0" w:noVBand="0"/>
      </w:tblPr>
      <w:tblGrid>
        <w:gridCol w:w="2884"/>
        <w:gridCol w:w="2883"/>
        <w:gridCol w:w="2883"/>
      </w:tblGrid>
      <w:tr w:rsidR="00BE2C03">
        <w:trPr>
          <w:cantSplit/>
          <w:trHeight w:val="375"/>
        </w:trPr>
        <w:tc>
          <w:tcPr>
            <w:tcW w:w="0" w:type="dxa"/>
            <w:vMerge w:val="restart"/>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普通客户适用申购费率</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申购金额（M,含申购费）</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申购费率</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M&lt;100万元</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1.50%</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100万元≤M&lt;200万元</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1.00%</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200万元≤M&lt;500万元</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0.60%</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M≥500万元</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按笔固定收取，1000元/笔</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持续持有期少于30天的投资人收取的赎回费，将全额计入基金财产；对持续持有期大于等于30天但少于90天的投资人收取的赎回费，将赎回费总额的75%计入基金财产；对持续持有期大于等于90天但少于180天的投资人收取的赎回费，将赎回费总额的50%计入基金财产；对持续持有期大于等于180天的投资人，将赎回费总额的25%归入基金财产。未计入基金财产的部分用于支付注册登记费等相关手续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本基金基金份额赎回费率按持有期限的长短分档，具体如下：</w:t>
      </w:r>
    </w:p>
    <w:tbl>
      <w:tblPr>
        <w:tblW w:w="5000" w:type="pct"/>
        <w:tblLayout w:type="fixed"/>
        <w:tblCellMar>
          <w:left w:w="0" w:type="dxa"/>
          <w:right w:w="0" w:type="dxa"/>
        </w:tblCellMar>
        <w:tblLook w:val="0000" w:firstRow="0" w:lastRow="0" w:firstColumn="0" w:lastColumn="0" w:noHBand="0" w:noVBand="0"/>
      </w:tblPr>
      <w:tblGrid>
        <w:gridCol w:w="2884"/>
        <w:gridCol w:w="2883"/>
        <w:gridCol w:w="2883"/>
      </w:tblGrid>
      <w:tr w:rsidR="00BE2C03">
        <w:trPr>
          <w:cantSplit/>
          <w:trHeight w:val="375"/>
        </w:trPr>
        <w:tc>
          <w:tcPr>
            <w:tcW w:w="0" w:type="dxa"/>
            <w:vMerge w:val="restart"/>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赎回费率</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持有期限（Y）</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赎回费率</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Y＜7天</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1.50%</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7天≤Y＜30天</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0.75%</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30天≤Y＜365天</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0.50%</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365天≤Y＜730天</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0.25%</w:t>
            </w:r>
          </w:p>
        </w:tc>
      </w:tr>
      <w:tr w:rsidR="00BE2C03">
        <w:trPr>
          <w:cantSplit/>
          <w:trHeight w:val="375"/>
        </w:trPr>
        <w:tc>
          <w:tcPr>
            <w:tcW w:w="0" w:type="dxa"/>
            <w:vMerge/>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center"/>
              <w:rPr>
                <w:rFonts w:ascii="宋体" w:hAnsi="宋体"/>
                <w:color w:val="000000"/>
                <w:kern w:val="0"/>
                <w:sz w:val="25"/>
                <w:szCs w:val="24"/>
              </w:rPr>
            </w:pP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Y≥730天</w:t>
            </w:r>
          </w:p>
        </w:tc>
        <w:tc>
          <w:tcPr>
            <w:tcW w:w="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基金份额的申购费在投资人申购基金份额时收取。申购费用由申购本基金基金份额的投资人承担，主要用于本基金的市场推广、销售、登记等各项费用，不列入基金财产。投资人在一天之内如果有多笔申购，适用的申购费率按单笔分别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本基金的赎回费用由赎回基金份额的基金份额持有人承担，赎回费用在基金份</w:t>
      </w:r>
      <w:r>
        <w:rPr>
          <w:rFonts w:ascii="宋体" w:hAnsi="宋体"/>
          <w:sz w:val="24"/>
        </w:rPr>
        <w:lastRenderedPageBreak/>
        <w:t>额持有人赎回本基金基金份额时收取。赎回费未归入基金财产的部分用于支付登记费和其他必要的手续费。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基金合同约定范围内调整申购费率、赎回费率或收费方式。费率或收费方式如发生变更，基金管理人最迟应于新的费率或收费方式实施日前按照《信息披露办法》等相关法律法规的有关规定在规定媒介上刊登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和基金赎回费率，并另行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（八）申购份额与赎回金额的计算方式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的有效份额为按实际确认的申购金额在扣除相应的费用后，以当日基金份额净值为基准计算，申购份额计算结果保留到小数点后2位，小数点后两位以后的部分舍去，舍去部分所代表的资产归基金财产所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（2）赎回金额为按实际确认的有效赎回份额乘以当日基金份额净值并扣除相应的费用后的余额，赎回金额计算结果保留到小数点后2位，小数点后两位以后的部分舍去，舍去部分所代表的资产归基金财产所有。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基金的申购金额包括申购费用和净申购金额，其中：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净申购金额=申购金额/（1＋申购费率）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（注：对于适用固定金额申购费的申购，净申购金额=申购金额-固定申购费金额）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申购费用=申购金额-净申购金额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（注：对于适用固定金额申购费的申购，申购费用=固定申购费金额）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申购份额=净申购金额/T日基金份额净值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例2：某客户投资1,000,000.00元申购本基金基金份额，其对应的申购费率为1.00%，假设申购当日本基金基金份额净值为1.0600元，则其可得到的申购份额为：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净申购金额=1,000,000.00/（1＋1.00%）= 990,099.01元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申购费用=1,000,000.00－990,099.01= 9,900.99元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申购份额=990,099.01/1.0600= 934,055.66分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即：某客户投资1,000,000.00元申购本基金基金份额，假设申购当日本基金基金份额净值为1.0600元，则该投资人可得到934,055.66份基金份额。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赎回金额的计算方法如下：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赎回总金额=赎回份额×T日基金份额净值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赎回费用=赎回总金额×赎回费率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净赎回金额=赎回总金额-赎回费用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例3：某投资人赎回持有的1,000,000份基金份额，持有期限为360天，其对应的赎回费率为0.50%，假设赎回当日基金份额净值为1.1480元，则其可得到的净赎回金额为：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赎回总金额=1,000,000×1.1480=1,148,000.00元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赎回费用=1,148,000.00×0.50%=5740.00元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净赎回金额=1,148,000.00-5740.00=1,142,260.00元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即：某持有本基金360天的投资人赎回持有的1,000,000份基金份额，假设赎回当日基金份额净值为1.1480元，则该投资人可得到的净赎回金额为1,142,260.00元。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本基金的基金份额净值计算公式如下：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T日基金份额净值＝T日闭市后基金资产净值/T日基金份额总数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净值的计算，保留到小数点后4位，小数点后第5位四舍五入，由此产生的收益或损失由基金财产承担。基金申购、赎回开放日（T日）的基金份额净值在当天收市后计算，并在T+1日内公告。遇特殊情况，经中国证监会同意，可以适当延迟计算或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5、当发生大额申购或赎回情形时，基金管理人可以采用摆动定价机制，以确保基金估值的公平性。具体处理原则与操作规范遵循相关法律法规及监管部门、自律组织的规定。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（九）基金份额的登记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投资人申购基金成功后，登记机构在T+1日为投资人登记权益并办理登记手续，投资人自T+2日（含该日）后有权赎回该部分基金份额。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投资人赎回基金成功后，登记机构在T+1日为投资人办理扣除权益的登记手续。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基金管理人可以在法律法规允许的范围内，对上述登记办理时间进行调整，但不得实质影响投资人的合法权益，并依照《信息披露办法》的有关规定在规定媒介公告。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（十）拒绝或暂停申购的情形及处理方式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3、因证券/期货交易所或银行间债券交易市场依法决定临时停市或交易时间非正常停市或港股通临时暂停，导致基金管理人无法计算当日基金资产净值或无法办理基金的申购业务时。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4、基金管理人接受某笔或某些申购申请会损害现有基金份额持有人利益时。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5、基金资产规模过大，使基金管理人无法找到合适的投资品种，或出现其他可能对基金业绩产生负面影响，或发生其他损害现有基金份额持有人利益的情形。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6、基金管理人、基金托管人、基金销售机构或登记机构的技术故障或其他异常情况导致基金销售系统、基金登记系统或基金会计系统无法正常运行。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接受某笔或者某些申购申请有可能导致单一投资人（基金管理人、基金管理人高级管理人员或基金经理作为发起资金提供方除外）持有基金份额的比例达到或者超过50%，或者变相规避50%集中度的情形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8、申请超过基金管理人设定的基金单日净申购比例上限、单一投资人单日或单笔申购金额上限的。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9、在港股通交易当日额度不足时，基金管理人有权根据情况决定拒绝或暂停申购。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10、法律法规规定或中国证监会认定的其他情形。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发生上述第1、2、3、5、6、9、10项暂停申购情形之一且基金管理人决定暂停接受投资人的申购申请时，基金管理人应当根据有关规定在规定媒介上刊登暂停申</w:t>
      </w:r>
      <w:r>
        <w:rPr>
          <w:rFonts w:ascii="宋体" w:hAnsi="宋体"/>
          <w:sz w:val="24"/>
        </w:rPr>
        <w:lastRenderedPageBreak/>
        <w:t>购公告。如果投资人的申购申请被全部或部分拒绝的，被拒绝的申购款项本金将全额退还给投资人，基金管理人及基金托管人不承担该退回款项产生的利息等损失。在暂停申购的情况消除时，基金管理人应及时恢复申购业务的办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（十一）暂停赎回或延缓支付赎回款项的情形及处理方式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3、因证券/期货交易所或银行间债券交易市场依法决定临时停市或交易时间非正常停市或港股通临时暂停，导致基金管理人无法计算当日基金资产净值或无法办理基金的赎回业务时。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5、发生继续接受赎回申请将损害现有基金份额持有人利益的情形时，基金管理人可暂停接受投资人的赎回申请。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缓支付。若出现上述第4项所述情形，按基金合同的相关条款处理。基金份额持有人在申请赎回时可事先选择将当日可能未获受理部分予以撤销。如暂停本基金基金份额的赎回，基金管理人应及时在规定媒介上刊登暂停赎回公告。在暂停赎回的情况消除时，基金管理人应及时恢复赎回业务的办理并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（十二）巨额赎回的情形及处理方式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w:t>
      </w:r>
      <w:r>
        <w:rPr>
          <w:rFonts w:ascii="宋体" w:hAnsi="宋体"/>
          <w:sz w:val="24"/>
        </w:rPr>
        <w:lastRenderedPageBreak/>
        <w:t>换中转出申请份额总数后扣除申购申请份额总数及基金转换中转入申请份额总数后的余额）超过前一开放日的基金总份额的10%，即认为是发生了巨额赎回。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已被接受的赎回申请量占已被接受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当出现巨额赎回时，基金转换中转出份额的申请的处理方式遵照相关的业务规则及相关公告。部分延期赎回不受单笔赎回最低份额的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本基金出现巨额赎回且单个基金份额持有人的赎回申请超过上一开放日基金总份额的20%时，基金管理人认为支付该基金份额持有人的全部赎回申请有困难或认为因支付该基金份额持有人的全部赎回申请而进行的财产变现可能会对基金资产净值造成较大波动时，对于该基金份额持有人当日提出的赎回申请中超过上一开放日基金总份额20%的部分（不含20%），基金管理人可以延期办理。对于未能赎回部分，单个基金份额持有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选择取消赎回的，当日未获受理的部分赎回申请将被撤销。如该单个基金份额持有人在提交赎回申请时未作明确选择，该单个基</w:t>
      </w:r>
      <w:r>
        <w:rPr>
          <w:rFonts w:ascii="宋体" w:hAnsi="宋体"/>
          <w:sz w:val="24"/>
        </w:rPr>
        <w:lastRenderedPageBreak/>
        <w:t>金份额持有人未能赎回部分作自动延期赎回处理。部分延期赎回不受单笔赎回最低份额的限制。当出现巨额赎回时，基金转换中转出份额的申请的处理方式遵照相关的业务规则及相关公告。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该基金份额持有人当日提出的赎回申请中未超过上一开放日基金总份额20%的部分（含20%），基金管理人可以采取全额赎回或部分延期赎回的方式，与其他基金份额持有人的赎回申请一并办理，并且对于该基金份额持有人和其他基金份额持有人的赎回申请采取相同的处理方式。对于前述未能赎回部分，基金份额持有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基金转换中转出份额的申请的处理方式遵照相关的业务规则及相关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当发生上述巨额赎回并采取相关措施时，基金管理人在《信息披露办法》规定的时限要求内在规定媒介上刊登公告说明有关处理方法。</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（十三）暂停申购或赎回的公告和重新开放申购或赎回的公告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1、发生上述暂停申购或赎回情况的，基金管理人应按照《信息披露办法》的有关规定在规定媒介上刊登暂停公告。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2、上述暂停申购或赎回情况消除的，基金管理人应于重新开放日公布最近1个开放日的基金份额净值。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根据暂停申购或赎回的时间，最迟于重新开放日在规定媒介上刊登重新开放申购或赎回的公告；也可以根据实际情况在暂停申购或赎回公告中明确重新开放申购或赎回的时间，届时不再另行发布重新开放的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（十四）基金转换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本基金自2019年3月4日起开始办理转换业务。基金管理人可以根据相关法律法</w:t>
      </w:r>
      <w:r>
        <w:rPr>
          <w:rFonts w:ascii="宋体" w:hAnsi="宋体"/>
          <w:sz w:val="24"/>
        </w:rPr>
        <w:lastRenderedPageBreak/>
        <w:t>规的规定以及基金合同的约定开办本基金与基金管理人管理的且已开通基金转换业务的其他基金之间的转换业务，基金转换可以收取一定的转换费，相关规则由基金管理人届时根据相关法律法规的规定及基金合同的约定制定并公告，并提前告知基金托管人与相关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（十五）基金份额的转让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（十六）基金的非交易过户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或者是按照相关法律法规或国家有权机关要求的划转主体。</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或者以其他方式处分。办理非交易过户必须提供基金登记机构要求提供的相关资料，对于符合条件的非交易过户申请按基金登记机构的规定办理，并按基金登记机构规定的标准收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(十七)基金的转托管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（十八）定期定额投资计划</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2019年3月4日起开始办理定期定额投资业务。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（十九）基金份额的冻结和解冻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基金登记机构只受理国家有权机关依法要求的基金份额的冻结与解冻，以及登</w:t>
      </w:r>
      <w:r>
        <w:rPr>
          <w:rFonts w:ascii="宋体" w:hAnsi="宋体"/>
          <w:sz w:val="24"/>
        </w:rPr>
        <w:lastRenderedPageBreak/>
        <w:t>记机构认可、符合法律法规的其他情况下的冻结与解冻。基金份额被冻结的，被冻结部分产生的权益按照我国法律法规、监管规章以及国家有权机关的要求来决定是否冻结。在国家有权机关作出决定之前，被冻结的基金份额产生的权益（权益为现金红利部分，自动转为基金份额）先行一并冻结。被冻结基金份额仍然参与收益分配。法律法规另有规定的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（二十）实施侧袋机制期间本基金的申购与赎回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本基金实施侧袋机制的，本基金的申购和赎回安排详见招募说明书“侧袋机制”部分的规定或相关公告。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十一）在不违反相关法律法规和基金合同约定且对基金份额持有人利益无实质不利影响的前提下，基金管理人可以与基金托管人协商一致并在履行相关程序后，根据具体情况对上述申购和赎回的安排进行补充和调整，或者办理基金份额质押等相关业务，届时须报中国证监会备案并提前公告。</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1" w:name="_Toc139637441"/>
      <w:r>
        <w:rPr>
          <w:rFonts w:ascii="宋体" w:hAnsi="宋体"/>
          <w:sz w:val="30"/>
        </w:rPr>
        <w:lastRenderedPageBreak/>
        <w:t>九、基金的投资</w:t>
      </w:r>
      <w:bookmarkEnd w:id="11"/>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（一）投资目标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通过把握股票市场、债券市场、银行间市场的收益率变化，在控制风险的前提下为投资人获取稳健回报。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（二）投资范围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包括国内依法发行或上市的股票（包括中小板股票、创业板股票、存托凭证及其他经中国证监会核准上市的股票）、港股通标的股票、债券（包括国债、金融债券、企业债券、公司债券、央行票据、中期票据、短期融资券、超短期融资券、次级债券、地方政府债券、可转换公司债券及分离交易可转债、可交换债券以及其他中国证监会允许投资的债券）、资产支持证券、债券回购、银行存款（包括协议存款、定期存款及其他银行存款）、现金、权证、股指期货以及法律法规或中国证监会允许基金投资的其他金融工具（但须符合中国证监会的相关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如法律法规或监管机构以后允许基金投资其他品种，基金管理人在履行适当程序后，可以将其纳入本基金的投资范围，其投资比例遵循届时有效的法律法规和相关规定。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组合比例为：股票资产占基金资产的比例为50%—95%（其中投资于港股通标的股票的比例占股票资产的0%-50%）。其余资产投资于债券、资产支持证券、债券回购、银行存款（包括协议存款、定期存款及其他银行存款）、现金、权证、股指期货等金融工具；权证投资不得超过基金资产净值的3%；每个交易日日终在扣除股指期货合约需缴纳的交易保证金后，现金或者到期日在一年以内的政府债券不低于基金资产净值的5%，其中，现金不包括结算备付金、存出保证金、应收申购款等。本基金将港股通标的股票投资的比例下限设为零，本基金可根据投资策略需要或不同配置地市场环境的变化，选择将部分基金资产投资于港股通标的股票或选择不将基金资产投资于港股通标的股票，基金资产并非必然投资港股通标的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1、大类资产配置策略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主要采用自上而下分析的方法进行大类资产配置，确定股票、债券、金融衍生品、现金的投资比例；根据国家政治经济政策精神，确定可投资的行业范围。本基金为混合型基金，长期来看将以权益性资产为主要配置，同时结合资金面情况、市场情绪面因素，适当进行短期的战术避险选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2、A股股票投资策略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采用“自上而下”选择细分行业及“自下而上”的方式挑选公司。在选择细分行业的时候，我们遵循国家政治经济政策精神，选择国家明确支持的细分行业。在这些细分行业中，我们针对每一个公司从定性和定量两个角度对公司进行研究，从定性的角度分析公司的管理层经营能力、治理结构、经营机制、销售模式等方面是否符合要求；从定量的角度分析公司的成长性、财务状况和估值水平等指标是否达到标准。综合来看，具有良好公司治理结构和优秀管理团队，并且在财务质量和价值方面达到要求的公司进入本基金的基础股票组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（1）公司治理结构和管理层能力评估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将通过与目标公司管理层进行深入调研，综合考评公司的治理结构、管理层工作能力等，甄选拥有优秀管理层的上市公司。其中，公司治理结构评价包括股东会、董事会和监事会的完整性以及独立运作；管理层工作能力评价包括考察开拓精神、战略思维、执行力、投资项目选择成功率及以往的经营业绩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（2）财务质量评估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本基金管理人主要根据相关财务指标对上市公司的财务质量进行考察，重点关注上市公司的毛利率、费用率、净资产收益率、应收账款、商誉、递延所得税资产和经营性现金流等反应真实盈利情况的财务指标。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（3）上市公司价值评估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本基金管理人通过分析目标公司的盈利驱动来源，评估目标公司的主营业务收入和净利润，选择公司增长率和估值相匹配的公司进行投资。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对于存托凭证投资，本基金将在深入研究的基础上，通过定性分析和定量分析相结合的方式，精选出具有比较优势的存托凭证。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3、港股通标的股票投资策略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本基金管理人将坚持自上而下的行业配置与自下而上的个股精选相结合的策略，积极优选相对于A股具有明显估值优势且质地优良的港股通标的股票。本基金</w:t>
      </w:r>
      <w:r>
        <w:rPr>
          <w:rFonts w:ascii="宋体" w:hAnsi="宋体"/>
          <w:sz w:val="24"/>
        </w:rPr>
        <w:lastRenderedPageBreak/>
        <w:t>将仅通过内地与香港股票市场交易互联互通机制投资于香港股票市场，不使用合格境内机构投资者（QDII）境外投资额度进行境外投资。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在行业配置层面，考虑行业的产业政策、生命周期、供需缺口、投资周期、库存周期、估值水平以及股票市场行业轮动规律。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个股选择层面，本基金主要采取业绩增速和估值相匹配的选股策略对港股通标的股票进行选择，以行业研究员的基本分析为基础，采取数量化的系统选股方法，精选业绩增速快，估值相对被低估的港股通标的投资品种。重点关注以下港股通标的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（1）对于A、H两地同时上市的公司，股价相对于A股明显折价的港股通标的股票；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（2）对于非A、H两地同时上市的公司，本基金从行业的角度来比较公司的估值，在同一行业内精选出相对于A股具有明显估值优势的港股通标的股票，具体而言，从下面两个维度来进行个股选择：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大、中盘价值股，选择相对于A股同一行业的公司具有明显估值折价的港股通标的股票，主要考察市盈率（P/E）、市净率（P/B）、企业价值倍数（EV/EBITDA）、市销率（P/S）、每用户平均收入（ARPU）、股息率（DY）等估值指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对于中、小盘成长股，主要考察成长倍数（PEG）等指标，选择相对于A股同一行业的公司具有明显估值折价的港股通标的股票；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于仅在香港市场上市，而在A股属于稀缺行业的个股，本基金将选择经营指标优于全市场平均水平且估值处于合理区间的港股通标的股票，主要考察指标包括资本回报率（ROIC）、毛利率、主营业务经营利润率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4、债券投资策略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资本市场日益国际化的背景下，通过研判债券市场风险收益特征的国际化趋势和国内宏观经济景气周期引发的债券收益率的变化趋势，采取自上而下的策略构造组合。债券类品种的投资，追求在严格控制风险的基础上获取稳健回报的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（1）本基金采用目标久期管理法作为本基金债券类证券投资的核心策略。通过宏观经济分析平台把握市场利率水平的运行态势，作为组合久期选择的主要依据。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（2）结合收益率曲线变化的预测，采取期限结构配置策略，通过分析和情景</w:t>
      </w:r>
      <w:r>
        <w:rPr>
          <w:rFonts w:ascii="宋体" w:hAnsi="宋体"/>
          <w:sz w:val="24"/>
        </w:rPr>
        <w:lastRenderedPageBreak/>
        <w:t>测试，确定长、中、短期债券的投资比例。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（3）收益率利差策略是债券资产在类属间的主要配置策略。本基金在充分考虑不同类型债券流动性、税收以及信用风险等因素基础上，进行类属的配置，优化组合收益。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运用上述策略方法基础上，通过分析个券的剩余期限与收益率的配比状况、信用等级状况、流动性指标等因素，选择风险收益配比最合理的个券作为投资对象，并形成组合。本基金还将采取积极主动的策略，针对市场定价错误和回购套利机会等，在确定存在超额收益的情况下，积极把握市场机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（5）根据基金申购、赎回等情况，对投资组合进行流动性管理，确保基金资产的变现能力。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5、资产支持证券投资策略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通过考量宏观经济形势、提前偿还率、违约率、资产池结构以及资产池资产所在行业景气情况等因素，预判资产池未来现金流变动；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6、可交换债券投资策略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可交换债券与可转换债券的区别在于换股期间用于交换的股票并非自身新发的股票，而是发行人持有的其他上市公司的股票。可交换债券同样具有债券属性和权益属性，其中债券属性与可转换债券相同，即选择持有可交换债券至到期以获取票面价值和票面利息；而对于权益属性的分析则需关注目标公司的股票价值以及发行人作为股东的换股意愿等。本基金将通过对目标公司股票的投资价值、可交换债券的债券价值、以及条款带来的期权价值等综合分析，进行投资决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7、股指期货投资策略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本基金根据风险管理原则，以套期保值为目的，在股指期货的投资中主要遵循避险和有效管理两项策略和原则：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（1）避险。主要用于市场风险大幅累积时的避险操作，减小基金投资组合因市场下跌而遭受的市场风险。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（2）有效管理。利用股指期货流动性好、交易成本低等特点，通过股指期货对投资组合的仓位进行及时调整，提高投资组合的运作效率。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8、权证投资策略.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权证为本基金的辅助性投资工具。在进行权证投资时，基金管理人将通过对权证标的证券基本面的研究，并结合权证定价模型寻求其合理估值水平，根据权证的高杠杆性、有限损失性和灵活性等特点，通过价值挖掘、获利保护、成本保护、趋势投资、限量投资、优化组合等策略进行权证投资。基金管理人将充分考虑权证资产的收益性、流动性及风险特征，通过资产配置、品种与类属选择，谨慎进行投资，追求较稳定的当期收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（四）业绩比较基准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本基金的业绩比较基准为：中证800指数收益率×30%+恒生指数收益率（使用估值汇率调整）×30%+中证全债指数收益率×40%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证800指数是由中证500和沪深300成份股一起构成，其综合反映了沪深证券市场内大中小市值公司的整体状况，是目前中国证券市场中市值覆盖率高、代表性强、流动性好，同时公信力较好的股票指数，适合作为本基金内地股票投资部分的业绩比较基准。恒生指数是香港股市价格的重要指标，指数由若干只成份股（即蓝筹股）市值计算出来，代表了香港交易所所有上市公司70%的市值，是反映香港股市价幅趋势最有影响的一种股价指数，适合作为本基金港股投资部分的业绩比较基准。中证全债指数综合反映了沪深证券交易所和银行间债券市场价格的变动趋势，为债券投资者提供了投资的分析工具和业绩评价基准。中证全债指数的成份券包括：银行间国债、金融债、企业债及公司债，沪市国债、企业债及公司债，深市国债、企业债和公司债，并满足固定利率、剩余期限一年以上，信用级别投资级及以上等条件，是目前市场上较为权威的反映债券市场整体走势的基准指数之一，适合作为本基金债券部分的业绩比较基准。总之，基于本基金的投资范围和投资比例限制，选用上述业绩比较基准能够较好的反映本基金的风险收益特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今后法律法规发生变化，或者上述业绩比较基准停止发布或变更名称，或者有更权威的、更能为市场普遍接受的业绩比较基准推出，或者是市场上出现更加适合用于本基金的业绩比较基准，经基金管理人和基金托管人协商一致并按照监管部门要求履行相关程序后，本基金可以在报中国证监会备案后变更业绩比较基准并及时公告，且无需召开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（五）风险收益特征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本基金为混合型基金，其预期风险、预期收益高于货币市场基金和债券型基</w:t>
      </w:r>
      <w:r>
        <w:rPr>
          <w:rFonts w:ascii="宋体" w:hAnsi="宋体"/>
          <w:sz w:val="24"/>
        </w:rPr>
        <w:lastRenderedPageBreak/>
        <w:t>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投资香港联合交易所上市的股票，将面临港股通机制下因投资环境、投资标的、市场制度以及交易规则等差异带来的特有风险。本基金可根据投资策略需要或不同配置地市场环境的变化，选择将部分基金资产投资于港股或选择不将基金资产投资于港股，基金资产并非必然投资港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（1）股票资产占基金资产的比例为50%—95%（其中投资于港股通标的股票的比例占股票资产的0%-50%）；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（2）本基金每个交易日日终在扣除股指期货合约需缴纳的交易保证金后，保持不低于基金资产净值5%的现金或到期日在一年以内的政府债券，其中，现金不包括结算备付金、存出保证金、应收申购款等；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（3）本基金持有一家公司发行的证券（同一家公司在内地和香港同时上市的A+H股合计计算），其市值不超过基金资产净值的10%；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（4）本基金管理人管理的全部基金持有一家公司发行的证券（同一家公司在内地和香港同时上市的A+H股合计计算），不超过该证券的10%；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（6）本基金持有的全部权证，其市值不得超过基金资产净值的3%；</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（7）本基金管理人管理的全部基金持有的同一权证，不得超过该权证的10%；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（8）本基金在任何交易日买入权证的总金额，不得超过上一交易日基金资产净值的0.5%；</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（9）本基金的基金资产总值不得超过基金资产净值的140%；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（10）本基金投资于同一原始权益人的各类资产支持证券的比例，不得超过基金资产净值的10%；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（11）本基金持有的全部资产支持证券，其市值不得超过基金资产净值的20%；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（12）本基金持有的同一（指同一信用级别）资产支持证券的比例，不得超过该资产支持证券规模的10%；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（13）本基金管理人管理的全部基金投资于同一原始权益人的各类资产支持证券，不得超过其各类资产支持证券合计规模的10%；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主动投资于流动性受限资产的市值合计不得超过基金资产净值的15%；因证券市场波动、上市公司股票停牌、基金规模变动等基金管理人之外的因素致使基金不符合前述所规定比例限制的，基金管理人不得主动新增流动性受限资产的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（15）本基金应投资于信用级别评级为BBB以上(含BBB)的资产支持证券。基金持有资产支持证券期间，如果其信用等级下降、不再符合投资标准，应在评级报告发布之日起3个月内予以全部卖出；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（16）本基金与私募类证券资管产品及中国证监会认定的其他主体为交易对手开展逆回购交易的，可接受质押品的资质要求应当与基金合同约定的投资范围保持一致；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（17）基金财产参与股票发行申购，本基金所申报的金额不超过本基金的总资产，本基金所申报的股票数量不超过拟发行股票公司本次发行股票的总量；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（18）本基金进入全国银行间同业市场进行债券回购的资金余额不得超过基金资产净值的40%；本基金在全国银行间同业市场中的债券回购最长期限为1年，债券回购到期后不得展期；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（19）本基金参与股指期货交易，则需遵守下列投资比例限制：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3）本基金在任何交易日日终，持有的卖出股指期货合约价值不得超过基金持有的股票总市值的20%；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5）本基金在任何交易日内交易（不包括平仓）的股指期货合约的成交金额不得超过上一交易日基金资产净值的20%；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（20）本基金投资存托凭证的比例限制依照境内上市交易的股票执行，与境内上市交易的股票合并计算；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（21）法律法规及中国证监会规定的和《基金合同》约定的其他投资限制。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14）、（15）、（16）项外，因证券市场及期货市场波动、证券发行人合并、基金规模变动或港股通额度已满等基金管理人之外的因素致使基金投资比例不符合上述规定投资比例的，基金管理人应当在10个交易日内进行调整，但中国证监会规定的特殊情形除外。因港股通额度已满等基金管理人之外的因素致使不能在10个交易日内完成调整的，基金管理人应当在合理时间内进行调整。法律法规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本基金投资流通受限证券，基金管理人应根据中国证监会相关规定进行投资。基金管理人应制订严格的投资决策流程和风险控制制度，防范流动性风险、法律风险和操作风险等各种风险。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对上述投资组合比例限制进行变更的，本基金在履行适当程序后，可相应调整投资比例限制规定。法律法规或监管部门取消上述限制，如适用于本基金，本基金在履行适当程序后，则本基金投资不再受相关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（4）买卖其他基金份额，但是法律法规或中国证监会另有规定的除外；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w:t>
      </w:r>
      <w:r>
        <w:rPr>
          <w:rFonts w:ascii="宋体" w:hAnsi="宋体"/>
          <w:sz w:val="24"/>
        </w:rPr>
        <w:lastRenderedPageBreak/>
        <w:t>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法律、行政法规或监管部门取消或变更上述限制，如适用于本基金，则本基金投资不再受相关限制或以变更后的规定为准。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（七）基金管理人代表基金行使相关权利的处理原则及方法</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1、有利于基金资产的安全与增值；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2、基金管理人按照国家有关规定代表基金独立行使相关权利，保护基金份额持有人的利益；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3、不谋求对上市公司的控股；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（八）侧袋机制的实施和投资运作安排</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侧袋账户的实施条件、实施程序、运作安排、投资安排、特定资产的处置变现和支付等对投资者权益有重大影响的事项详见招募说明书“侧袋机制”部分的规定。</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（九）投资组合报告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基金管理人银华基金管理股份有限公司的董事会及董事保证本报告所载资料不存在虚假记载、误导性陈述或重大遗漏，并对其内容的真实性、准确性和完整性承担个别及连带责任。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基金托管人中国农业银行股份有限公司根据本基金合同规定复核了本报告中的财务指标、净值表现和投资组合报告等内容，保证复核内容不存在虚假记载、误导</w:t>
      </w:r>
      <w:r>
        <w:rPr>
          <w:rFonts w:ascii="宋体" w:hAnsi="宋体"/>
          <w:sz w:val="24"/>
        </w:rPr>
        <w:lastRenderedPageBreak/>
        <w:t>性陈述或者重大遗漏。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本投资组合报告所载数据截至2023年03月31日（财务数据未经审计）。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Layout w:type="fixed"/>
        <w:tblCellMar>
          <w:left w:w="0" w:type="dxa"/>
          <w:right w:w="0" w:type="dxa"/>
        </w:tblCellMar>
        <w:tblLook w:val="0000" w:firstRow="0" w:lastRow="0" w:firstColumn="0" w:lastColumn="0" w:noHBand="0" w:noVBand="0"/>
      </w:tblPr>
      <w:tblGrid>
        <w:gridCol w:w="856"/>
        <w:gridCol w:w="3312"/>
        <w:gridCol w:w="2255"/>
        <w:gridCol w:w="2227"/>
      </w:tblGrid>
      <w:tr w:rsidR="00BE2C03">
        <w:trPr>
          <w:cantSplit/>
          <w:trHeight w:val="375"/>
        </w:trPr>
        <w:tc>
          <w:tcPr>
            <w:tcW w:w="20"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序号</w:t>
            </w:r>
          </w:p>
        </w:tc>
        <w:tc>
          <w:tcPr>
            <w:tcW w:w="116"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项目</w:t>
            </w:r>
          </w:p>
        </w:tc>
        <w:tc>
          <w:tcPr>
            <w:tcW w:w="79"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金额（元）</w:t>
            </w:r>
          </w:p>
        </w:tc>
        <w:tc>
          <w:tcPr>
            <w:tcW w:w="78"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占基金总资产的比例（%）</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权益投资</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61,692,400.39</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63.86</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left"/>
              <w:rPr>
                <w:rFonts w:ascii="宋体" w:hAnsi="宋体"/>
                <w:color w:val="000000"/>
                <w:kern w:val="0"/>
                <w:sz w:val="25"/>
                <w:szCs w:val="24"/>
              </w:rPr>
            </w:pP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其中：股票</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61,692,400.39</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63.86</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2</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基金投资</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固定收益投资</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left"/>
              <w:rPr>
                <w:rFonts w:ascii="宋体" w:hAnsi="宋体"/>
                <w:color w:val="000000"/>
                <w:kern w:val="0"/>
                <w:sz w:val="25"/>
                <w:szCs w:val="24"/>
              </w:rPr>
            </w:pP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其中：债券</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left"/>
              <w:rPr>
                <w:rFonts w:ascii="宋体" w:hAnsi="宋体"/>
                <w:color w:val="000000"/>
                <w:kern w:val="0"/>
                <w:sz w:val="25"/>
                <w:szCs w:val="24"/>
              </w:rPr>
            </w:pP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资产支持证券</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4</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贵金属投资</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5</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金融衍生品投资</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买入返售金融资产</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left"/>
              <w:rPr>
                <w:rFonts w:ascii="宋体" w:hAnsi="宋体"/>
                <w:color w:val="000000"/>
                <w:kern w:val="0"/>
                <w:sz w:val="25"/>
                <w:szCs w:val="24"/>
              </w:rPr>
            </w:pP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其中：买断式回购的买入返售金融资产</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7</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银行存款和结算备付金合计</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34,891,283.46</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36.12</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8</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其他资产</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21,581.62</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0.02</w:t>
            </w:r>
          </w:p>
        </w:tc>
      </w:tr>
      <w:tr w:rsidR="00BE2C03">
        <w:trPr>
          <w:cantSplit/>
          <w:trHeight w:val="375"/>
        </w:trPr>
        <w:tc>
          <w:tcPr>
            <w:tcW w:w="2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9</w:t>
            </w:r>
          </w:p>
        </w:tc>
        <w:tc>
          <w:tcPr>
            <w:tcW w:w="11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合计</w:t>
            </w:r>
          </w:p>
        </w:tc>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96,605,265.47</w:t>
            </w:r>
          </w:p>
        </w:tc>
        <w:tc>
          <w:tcPr>
            <w:tcW w:w="7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100.00</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注：本基金本报告期末通过港股通交易机制投资的港股公允价值为人民币9,517,317.45元，占期末净值比例为9.88%。</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Layout w:type="fixed"/>
        <w:tblCellMar>
          <w:left w:w="0" w:type="dxa"/>
          <w:right w:w="0" w:type="dxa"/>
        </w:tblCellMar>
        <w:tblLook w:val="0000" w:firstRow="0" w:lastRow="0" w:firstColumn="0" w:lastColumn="0" w:noHBand="0" w:noVBand="0"/>
      </w:tblPr>
      <w:tblGrid>
        <w:gridCol w:w="867"/>
        <w:gridCol w:w="2951"/>
        <w:gridCol w:w="3067"/>
        <w:gridCol w:w="1765"/>
      </w:tblGrid>
      <w:tr w:rsidR="00BE2C03">
        <w:trPr>
          <w:cantSplit/>
          <w:trHeight w:val="375"/>
        </w:trPr>
        <w:tc>
          <w:tcPr>
            <w:tcW w:w="25"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代码</w:t>
            </w:r>
          </w:p>
        </w:tc>
        <w:tc>
          <w:tcPr>
            <w:tcW w:w="102"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行业类别</w:t>
            </w:r>
          </w:p>
        </w:tc>
        <w:tc>
          <w:tcPr>
            <w:tcW w:w="106"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公允价值（元）</w:t>
            </w:r>
          </w:p>
        </w:tc>
        <w:tc>
          <w:tcPr>
            <w:tcW w:w="61"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占基金资产净值比例（%）</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A</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农、林、牧、渔业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B</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采矿业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8,108,421.00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8.42</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C</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制造业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36,733,278.34</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38.14</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D</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电力、热力、燃气及水生产和供应业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E</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建筑业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F</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批发和零售业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G</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交通运输、仓储和邮政业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H</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住宿和餐饮业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I</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信息传输、软件和信息技术服务业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lastRenderedPageBreak/>
              <w:t>J</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金融业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7,333,383.60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7.61</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K</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房地产业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L</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租赁和商务服务业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M</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科学研究和技术服务业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N</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水利、环境和公共设施管理业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O</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居民服务、修理和其他服务业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P</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教育</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Q</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卫生和社会工作</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R</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文化、体育和娱乐业</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S</w:t>
            </w: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综合</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25" w:type="dxa"/>
            <w:tcBorders>
              <w:top w:val="single" w:sz="4" w:space="0" w:color="auto"/>
              <w:left w:val="single" w:sz="4" w:space="0" w:color="auto"/>
              <w:bottom w:val="single" w:sz="4" w:space="0" w:color="auto"/>
              <w:right w:val="single" w:sz="4" w:space="0" w:color="auto"/>
            </w:tcBorders>
            <w:vAlign w:val="center"/>
          </w:tcPr>
          <w:p w:rsidR="00BE2C03" w:rsidRDefault="00BE2C03">
            <w:pPr>
              <w:widowControl/>
              <w:snapToGrid w:val="0"/>
              <w:jc w:val="left"/>
              <w:rPr>
                <w:rFonts w:ascii="宋体" w:hAnsi="宋体"/>
                <w:color w:val="000000"/>
                <w:kern w:val="0"/>
                <w:sz w:val="25"/>
                <w:szCs w:val="24"/>
              </w:rPr>
            </w:pPr>
          </w:p>
        </w:tc>
        <w:tc>
          <w:tcPr>
            <w:tcW w:w="10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合计</w:t>
            </w:r>
          </w:p>
        </w:tc>
        <w:tc>
          <w:tcPr>
            <w:tcW w:w="10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52,175,082.94</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54.17</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tbl>
      <w:tblPr>
        <w:tblW w:w="5000" w:type="pct"/>
        <w:tblLayout w:type="fixed"/>
        <w:tblCellMar>
          <w:left w:w="0" w:type="dxa"/>
          <w:right w:w="0" w:type="dxa"/>
        </w:tblCellMar>
        <w:tblLook w:val="0000" w:firstRow="0" w:lastRow="0" w:firstColumn="0" w:lastColumn="0" w:noHBand="0" w:noVBand="0"/>
      </w:tblPr>
      <w:tblGrid>
        <w:gridCol w:w="2325"/>
        <w:gridCol w:w="3442"/>
        <w:gridCol w:w="2883"/>
      </w:tblGrid>
      <w:tr w:rsidR="00BE2C03">
        <w:trPr>
          <w:cantSplit/>
          <w:trHeight w:val="375"/>
        </w:trPr>
        <w:tc>
          <w:tcPr>
            <w:tcW w:w="79"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行业类别</w:t>
            </w:r>
          </w:p>
        </w:tc>
        <w:tc>
          <w:tcPr>
            <w:tcW w:w="117"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公允价值（人民币）</w:t>
            </w:r>
          </w:p>
        </w:tc>
        <w:tc>
          <w:tcPr>
            <w:tcW w:w="98"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占基金资产净值比例（%）</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基础材料</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9,517,317.45</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9.88</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消费者非必需品</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消费者常用品</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能源</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金融</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医疗保健</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工业</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信息技术</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电信服务</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公用事业</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地产建筑业</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7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合计</w:t>
            </w:r>
          </w:p>
        </w:tc>
        <w:tc>
          <w:tcPr>
            <w:tcW w:w="11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9,517,317.45</w:t>
            </w:r>
          </w:p>
        </w:tc>
        <w:tc>
          <w:tcPr>
            <w:tcW w:w="9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9.88</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Layout w:type="fixed"/>
        <w:tblCellMar>
          <w:left w:w="0" w:type="dxa"/>
          <w:right w:w="0" w:type="dxa"/>
        </w:tblCellMar>
        <w:tblLook w:val="0000" w:firstRow="0" w:lastRow="0" w:firstColumn="0" w:lastColumn="0" w:noHBand="0" w:noVBand="0"/>
      </w:tblPr>
      <w:tblGrid>
        <w:gridCol w:w="871"/>
        <w:gridCol w:w="987"/>
        <w:gridCol w:w="1480"/>
        <w:gridCol w:w="1132"/>
        <w:gridCol w:w="1771"/>
        <w:gridCol w:w="2409"/>
      </w:tblGrid>
      <w:tr w:rsidR="00BE2C03">
        <w:trPr>
          <w:cantSplit/>
          <w:trHeight w:val="375"/>
        </w:trPr>
        <w:tc>
          <w:tcPr>
            <w:tcW w:w="26"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序号</w:t>
            </w:r>
          </w:p>
        </w:tc>
        <w:tc>
          <w:tcPr>
            <w:tcW w:w="34"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股票代码</w:t>
            </w:r>
          </w:p>
        </w:tc>
        <w:tc>
          <w:tcPr>
            <w:tcW w:w="51"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股票名称</w:t>
            </w:r>
          </w:p>
        </w:tc>
        <w:tc>
          <w:tcPr>
            <w:tcW w:w="39"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数量（股）</w:t>
            </w:r>
          </w:p>
        </w:tc>
        <w:tc>
          <w:tcPr>
            <w:tcW w:w="61"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公允价值（元）</w:t>
            </w:r>
          </w:p>
        </w:tc>
        <w:tc>
          <w:tcPr>
            <w:tcW w:w="83"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占基金资产净值比例（%）</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600988</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赤峰黄金</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414,600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7,524,990.00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7.81</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2</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300059</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东方财富</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366,120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7,333,383.60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7.61</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01818</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招金矿业</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643,000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6,709,632.47</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6.97</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4</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600166</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福田汽车</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1,610,500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5,620,645.00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5.84</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lastRenderedPageBreak/>
              <w:t>5</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603501</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韦尔股份</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54,400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4,955,840.00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5.15</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002475</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立讯精密</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156,300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4,737,453.00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4.92</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7</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600309</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万华化学</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38,700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3,710,556.00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3.85</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8</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300037</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新宙邦</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58,900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2,873,731.00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2.98</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9</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01378</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中国宏桥</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426,500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2,807,684.98</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2.92</w:t>
            </w:r>
          </w:p>
        </w:tc>
      </w:tr>
      <w:tr w:rsidR="00BE2C03">
        <w:trPr>
          <w:cantSplit/>
          <w:trHeight w:val="375"/>
        </w:trPr>
        <w:tc>
          <w:tcPr>
            <w:tcW w:w="26"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10</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603612</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索通发展</w:t>
            </w:r>
          </w:p>
        </w:tc>
        <w:tc>
          <w:tcPr>
            <w:tcW w:w="3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99,100</w:t>
            </w:r>
          </w:p>
        </w:tc>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2,290,201.00</w:t>
            </w:r>
          </w:p>
        </w:tc>
        <w:tc>
          <w:tcPr>
            <w:tcW w:w="83"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2.38</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注：本基金本报告期末未持有债券。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注：本基金本报告期末未持有债券。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注：本基金本报告期末未持有资产支持证券。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注：本基金本报告期末未持有贵金属。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注：本基金本报告期末未持有权证。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注：本基金本报告期末未持有股指期货。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注：本基金本报告期末未持有国债期货。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本基金投资的前十名证券的发行主体本期不存在被监管部门立案调查，或在报告编制日前一年内受到公开谴责、处罚的情形。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本基金投资的前十名股票没有超出基金合同规定的备选股票库之外的情形。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Layout w:type="fixed"/>
        <w:tblCellMar>
          <w:left w:w="0" w:type="dxa"/>
          <w:right w:w="0" w:type="dxa"/>
        </w:tblCellMar>
        <w:tblLook w:val="0000" w:firstRow="0" w:lastRow="0" w:firstColumn="0" w:lastColumn="0" w:noHBand="0" w:noVBand="0"/>
      </w:tblPr>
      <w:tblGrid>
        <w:gridCol w:w="882"/>
        <w:gridCol w:w="2207"/>
        <w:gridCol w:w="5561"/>
      </w:tblGrid>
      <w:tr w:rsidR="00BE2C03">
        <w:trPr>
          <w:cantSplit/>
          <w:trHeight w:val="375"/>
        </w:trPr>
        <w:tc>
          <w:tcPr>
            <w:tcW w:w="30"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序号</w:t>
            </w:r>
          </w:p>
        </w:tc>
        <w:tc>
          <w:tcPr>
            <w:tcW w:w="75"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名称</w:t>
            </w:r>
          </w:p>
        </w:tc>
        <w:tc>
          <w:tcPr>
            <w:tcW w:w="189" w:type="dxa"/>
            <w:tcBorders>
              <w:top w:val="single" w:sz="4" w:space="0" w:color="auto"/>
              <w:left w:val="single" w:sz="4" w:space="0" w:color="auto"/>
              <w:bottom w:val="single" w:sz="4" w:space="0" w:color="auto"/>
              <w:right w:val="single" w:sz="4" w:space="0" w:color="auto"/>
            </w:tcBorders>
            <w:shd w:val="clear" w:color="auto" w:fill="D9D9D9"/>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金额（元）</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lastRenderedPageBreak/>
              <w:t>1</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存出保证金</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21,451.65</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2</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应收证券清算款</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3</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应收股利</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4</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应收利息</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5</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应收申购款</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129.97</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6</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其他应收款</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7</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其他</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w:t>
            </w:r>
          </w:p>
        </w:tc>
      </w:tr>
      <w:tr w:rsidR="00BE2C03">
        <w:trPr>
          <w:cantSplit/>
          <w:trHeight w:val="375"/>
        </w:trPr>
        <w:tc>
          <w:tcPr>
            <w:tcW w:w="30"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center"/>
              <w:rPr>
                <w:rFonts w:ascii="宋体" w:hAnsi="宋体"/>
                <w:color w:val="000000"/>
                <w:kern w:val="0"/>
                <w:sz w:val="25"/>
                <w:szCs w:val="24"/>
              </w:rPr>
            </w:pPr>
            <w:r>
              <w:rPr>
                <w:rFonts w:ascii="宋体" w:hAnsi="宋体"/>
                <w:color w:val="000000"/>
                <w:kern w:val="0"/>
                <w:sz w:val="25"/>
                <w:szCs w:val="24"/>
              </w:rPr>
              <w:t>8</w:t>
            </w:r>
          </w:p>
        </w:tc>
        <w:tc>
          <w:tcPr>
            <w:tcW w:w="75"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合计</w:t>
            </w:r>
          </w:p>
        </w:tc>
        <w:tc>
          <w:tcPr>
            <w:tcW w:w="189"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21,581.62</w:t>
            </w:r>
          </w:p>
        </w:tc>
      </w:tr>
    </w:tbl>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注：本基金本报告期末未持有可转换债券。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注：本基金本报告期末前十名股票中不存在流通受限的情况。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由于四舍五入的原因，比例的分项之和与合计可能有尾差。</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2" w:name="_Toc139637442"/>
      <w:r>
        <w:rPr>
          <w:rFonts w:ascii="宋体" w:hAnsi="宋体"/>
          <w:sz w:val="30"/>
        </w:rPr>
        <w:lastRenderedPageBreak/>
        <w:t>十、基金的业绩</w:t>
      </w:r>
      <w:bookmarkEnd w:id="12"/>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本基金基金份额净值增长率与业绩比较基准收益率比较表：</w:t>
      </w:r>
    </w:p>
    <w:tbl>
      <w:tblPr>
        <w:tblW w:w="5000" w:type="pct"/>
        <w:tblLayout w:type="fixed"/>
        <w:tblCellMar>
          <w:left w:w="0" w:type="dxa"/>
          <w:right w:w="0" w:type="dxa"/>
        </w:tblCellMar>
        <w:tblLook w:val="0000" w:firstRow="0" w:lastRow="0" w:firstColumn="0" w:lastColumn="0" w:noHBand="0" w:noVBand="0"/>
      </w:tblPr>
      <w:tblGrid>
        <w:gridCol w:w="1731"/>
        <w:gridCol w:w="1191"/>
        <w:gridCol w:w="1191"/>
        <w:gridCol w:w="964"/>
        <w:gridCol w:w="1446"/>
        <w:gridCol w:w="1078"/>
        <w:gridCol w:w="1049"/>
      </w:tblGrid>
      <w:tr w:rsidR="00BE2C03">
        <w:trPr>
          <w:cantSplit/>
          <w:trHeight w:val="375"/>
        </w:trPr>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阶段</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净值增长率①</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净值增长率标准差②</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业绩比较基准收益率③</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业绩比较基准收益率标准差④</w:t>
            </w:r>
          </w:p>
        </w:tc>
        <w:tc>
          <w:tcPr>
            <w:tcW w:w="3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①-③</w:t>
            </w:r>
          </w:p>
        </w:tc>
        <w:tc>
          <w:tcPr>
            <w:tcW w:w="3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②-④</w:t>
            </w:r>
          </w:p>
        </w:tc>
      </w:tr>
      <w:tr w:rsidR="00BE2C03">
        <w:trPr>
          <w:cantSplit/>
          <w:trHeight w:val="375"/>
        </w:trPr>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2019年</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56.76%</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1.24%</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15.52%</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0.59%</w:t>
            </w:r>
          </w:p>
        </w:tc>
        <w:tc>
          <w:tcPr>
            <w:tcW w:w="3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41.24%</w:t>
            </w:r>
          </w:p>
        </w:tc>
        <w:tc>
          <w:tcPr>
            <w:tcW w:w="3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0.65%</w:t>
            </w:r>
          </w:p>
        </w:tc>
      </w:tr>
      <w:tr w:rsidR="00BE2C03">
        <w:trPr>
          <w:cantSplit/>
          <w:trHeight w:val="375"/>
        </w:trPr>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2020年</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37.13%</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1.57%</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6.19%</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0.80%</w:t>
            </w:r>
          </w:p>
        </w:tc>
        <w:tc>
          <w:tcPr>
            <w:tcW w:w="3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30.94%</w:t>
            </w:r>
          </w:p>
        </w:tc>
        <w:tc>
          <w:tcPr>
            <w:tcW w:w="3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0.77%</w:t>
            </w:r>
          </w:p>
        </w:tc>
      </w:tr>
      <w:tr w:rsidR="00BE2C03">
        <w:trPr>
          <w:cantSplit/>
          <w:trHeight w:val="375"/>
        </w:trPr>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2021年</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12.99%</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1.46%</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-2.90%</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0.62%</w:t>
            </w:r>
          </w:p>
        </w:tc>
        <w:tc>
          <w:tcPr>
            <w:tcW w:w="3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15.89 %</w:t>
            </w:r>
          </w:p>
        </w:tc>
        <w:tc>
          <w:tcPr>
            <w:tcW w:w="3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0.84%</w:t>
            </w:r>
          </w:p>
        </w:tc>
      </w:tr>
      <w:tr w:rsidR="00BE2C03">
        <w:trPr>
          <w:cantSplit/>
          <w:trHeight w:val="375"/>
        </w:trPr>
        <w:tc>
          <w:tcPr>
            <w:tcW w:w="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2022年</w:t>
            </w:r>
          </w:p>
        </w:tc>
        <w:tc>
          <w:tcPr>
            <w:tcW w:w="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-23.14%</w:t>
            </w:r>
          </w:p>
        </w:tc>
        <w:tc>
          <w:tcPr>
            <w:tcW w:w="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1.34%</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-6.93%</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0.90%</w:t>
            </w:r>
          </w:p>
        </w:tc>
        <w:tc>
          <w:tcPr>
            <w:tcW w:w="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-16.21%</w:t>
            </w:r>
          </w:p>
        </w:tc>
        <w:tc>
          <w:tcPr>
            <w:tcW w:w="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0.44%</w:t>
            </w:r>
          </w:p>
        </w:tc>
      </w:tr>
      <w:tr w:rsidR="00BE2C03">
        <w:trPr>
          <w:cantSplit/>
          <w:trHeight w:val="375"/>
        </w:trPr>
        <w:tc>
          <w:tcPr>
            <w:tcW w:w="6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left"/>
              <w:rPr>
                <w:rFonts w:ascii="宋体" w:hAnsi="宋体"/>
                <w:color w:val="000000"/>
                <w:kern w:val="0"/>
                <w:sz w:val="25"/>
                <w:szCs w:val="24"/>
              </w:rPr>
            </w:pPr>
            <w:r>
              <w:rPr>
                <w:rFonts w:ascii="宋体" w:hAnsi="宋体"/>
                <w:color w:val="000000"/>
                <w:kern w:val="0"/>
                <w:sz w:val="25"/>
                <w:szCs w:val="24"/>
              </w:rPr>
              <w:t>自基金合同生效日（2018年12月7日）起至2022年12月31日</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86.40%</w:t>
            </w:r>
          </w:p>
        </w:tc>
        <w:tc>
          <w:tcPr>
            <w:tcW w:w="42"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1.40%</w:t>
            </w:r>
          </w:p>
        </w:tc>
        <w:tc>
          <w:tcPr>
            <w:tcW w:w="34"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8.79%</w:t>
            </w:r>
          </w:p>
        </w:tc>
        <w:tc>
          <w:tcPr>
            <w:tcW w:w="51"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0.73%</w:t>
            </w:r>
          </w:p>
        </w:tc>
        <w:tc>
          <w:tcPr>
            <w:tcW w:w="38"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77.61%</w:t>
            </w:r>
          </w:p>
        </w:tc>
        <w:tc>
          <w:tcPr>
            <w:tcW w:w="37" w:type="dxa"/>
            <w:tcBorders>
              <w:top w:val="single" w:sz="4" w:space="0" w:color="auto"/>
              <w:left w:val="single" w:sz="4" w:space="0" w:color="auto"/>
              <w:bottom w:val="single" w:sz="4" w:space="0" w:color="auto"/>
              <w:right w:val="single" w:sz="4" w:space="0" w:color="auto"/>
            </w:tcBorders>
            <w:vAlign w:val="center"/>
          </w:tcPr>
          <w:p w:rsidR="00BE2C03" w:rsidRDefault="00160133">
            <w:pPr>
              <w:widowControl/>
              <w:snapToGrid w:val="0"/>
              <w:jc w:val="right"/>
              <w:rPr>
                <w:rFonts w:ascii="宋体" w:hAnsi="宋体"/>
                <w:color w:val="000000"/>
                <w:kern w:val="0"/>
                <w:sz w:val="25"/>
                <w:szCs w:val="24"/>
              </w:rPr>
            </w:pPr>
            <w:r>
              <w:rPr>
                <w:rFonts w:ascii="宋体" w:hAnsi="宋体"/>
                <w:color w:val="000000"/>
                <w:kern w:val="0"/>
                <w:sz w:val="25"/>
                <w:szCs w:val="24"/>
              </w:rPr>
              <w:t>0.67%</w:t>
            </w:r>
          </w:p>
        </w:tc>
      </w:tr>
    </w:tbl>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3" w:name="_Toc139637443"/>
      <w:r>
        <w:rPr>
          <w:rFonts w:ascii="宋体" w:hAnsi="宋体"/>
          <w:sz w:val="30"/>
        </w:rPr>
        <w:lastRenderedPageBreak/>
        <w:t>十一、基金的财产</w:t>
      </w:r>
      <w:bookmarkEnd w:id="13"/>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基金资产总值是指基金拥有的各类有价证券及票据价值、股指期货合约、银行存款本息和基金应收的款项以及其他资产价值总和。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（四）基金财产的保管和处分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对基金托管账户中的资金进行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4" w:name="_Toc139637444"/>
      <w:r>
        <w:rPr>
          <w:rFonts w:ascii="宋体" w:hAnsi="宋体"/>
          <w:sz w:val="30"/>
        </w:rPr>
        <w:lastRenderedPageBreak/>
        <w:t>十二、基金资产估值</w:t>
      </w:r>
      <w:bookmarkEnd w:id="14"/>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本基金的估值日为本基金相关的证券/期货交易所的交易日以及国家法律法规规定需要对外披露基金净值的非交易日。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（二）估值对象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基金所拥有的股票、权证、股指期货合约、债券和银行存款本息、应收款项、其它投资等资产及负债。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（三）估值方法</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（2）交易所上市实行净价交易的债券按第三方估值机构提供的相应品种当日的估值净价估值；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未实行净价交易的债券按估值日收盘价或第三方估值机构提供的相应品种当日的估值全价减去债券收盘价或估值全价中所含的债券应收利息得到的净价进行估值；估值日没有交易的，且最近交易日后经济环境未发生重大变化，按最近交易日债券收盘价或第三方估值机构提供的相应品种当日的估值全价减去债券收盘价或估值全价中所含的债券应收利息得到的净价进行估值。如最近交易日后经济环境发生了重大变化的，可参考类似投资品种的现行市价及重大变化因素，调整最近交易市价，确定公允价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（4）交易所上市不存在活跃市场的有价证券，采用估值技术确定公允价值。交易所上市的资产支持证券，采用估值技术确定公允价值，在估值技术难以可靠计量公允价值的情况下，按成本估值；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（5）本基金投资存托凭证的估值核算，依照境内上市交易的股票执行。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（1）送股、转增股、配股和公开增发的股票，按估值日在证券交易所挂牌的同一股票的估值方法估值；该日无交易的，以最近一日的市价（收盘价）估值；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（2）首次公开发行未上市的股票、债券和权证，采用估值技术确定公允价值，在估值技术难以可靠计量公允价值的情况下，按成本估值；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3、全国银行间债券市场交易的债券、资产支持证券等品种，以第三方估值机构提供的价格数据估值。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4、同一股票、债券同时在两个或两个以上市场交易的，按股票、债券所处的市场分别估值。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5、本基金持有的回购以成本列示，按合同利率在回购期间内逐日计提应收或应付利息。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6、本基金持有的银行存款和备付金余额以本金列示，按相应利率逐日计提利息。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7、本基金投资股指期货合约，按估值当日结算价进行估值，估值当日无结算价的，且最近交易日后经济环境未发生重大变化的，采用最近交易日结算价估值。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8、估值计算中涉及港币对人民币汇率的，将依据当日中国人民银行或其授权机构公布的港元对人民币的中间价为准。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9、如有确凿证据表明按上述方法进行估值不能客观反映其公允价值的，基金管理人可根据具体情况与基金托管人商定后，按最能反映公允价值的价格估值。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10、当发生大额申购或赎回情形时，基金管理人可以采用摆动定价机制，以确保基金估值的公平性。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11、相关法律法规以及监管部门有强制规定的，从其规定。如有新增事项，按国家最新规定估值。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发现基金估值违反基金合同订明的估值方法、程序以及相关法律法规的规定或者未能充分维护基金份额持有人利益时，发现方应及时通知对方，共同查明原因，双方协商，以约定的方法、程序和相关法律法规的规定进行估值，以维护基金份额持有人的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根据有关法律法规，基金资产净值计算、基金份额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1、基金份额净值是按照每个估值日闭市后，基金资产净值除以当日基金份额的余额数量计算，精确到0.0001元，小数点后第5位四舍五入。国家另有规定的，从其规定。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基金管理人于每个估值日计算基金资产净值及基金份额净值，经基金托管人复核，并按规定公告。如遇特殊情况，经中国证监会同意，可以适当延迟计算或公告。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估值日对基金资产估值。但基金管理人根据法律法规或基金合同的规定暂停估值时除外。基金管理人每个估值日对基金资产估值后，将拟公告的基金份额净值结果发送基金托管人，经基金托管人复核无误后，由基金管理人按约定对外公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（五）估值错误的处理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基金管理人和基金托管人将采取必要、适当、合理的措施确保基金资产估值的准确性、及时性。当基金份额净值小数点后4位以内(含第4位)发生估值错误时，视为基金份额净值错误。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其他销售机构、或投资人自身的过错造成估值错误，导致其他当事人遭受损失的，过错的责任人应当对由于该估值错误遭受损失当事人(“受损方”)的直接损失按下述“估值错误处理原则”给予赔偿，承担赔偿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w:t>
      </w:r>
      <w:r>
        <w:rPr>
          <w:rFonts w:ascii="宋体" w:hAnsi="宋体"/>
          <w:sz w:val="24"/>
        </w:rPr>
        <w:lastRenderedPageBreak/>
        <w:t>计算差错、系统故障差错、下达指令差错等。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w:t>
      </w:r>
      <w:r>
        <w:rPr>
          <w:rFonts w:ascii="宋体" w:hAnsi="宋体"/>
          <w:sz w:val="24"/>
        </w:rPr>
        <w:lastRenderedPageBreak/>
        <w:t>金托管人，并采取合理的措施防止损失进一步扩大。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基金托管人发现基金份额净值计价出现重大错误或者估值出现重大偏离的，应当提示基金管理人依法履行披露和报告义务。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（六）暂停估值的情形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4、法律法规、中国证监会和基金合同认定的其它情形。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（七）基金资产净值、基金份额净值的确认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按规定对基金份额净值予以公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（八）特殊情况的处理方法</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1、基金管理人或基金托管人按估值方法的第9项进行估值时，所造成的误差不作为基金资产估值错误处理。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证券/期货交易所或银行间债券交易市场、登记结算公司、证券/期货经纪机构发送的数据错误、第三方估值机构提供的估值数据错误，有关会计制度变化或由于其他不可抗力原因，基金管理人和基金托管人虽然已经采取必要、适当、合理的措施进行检查，但未能发现该错误的，由此造成的基金资产估值错误，基金管理人和基金托管人免除赔偿责任，但基金管理人、基金托管人应当积极采取必要的措施消除或减轻由此造成的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（九）实施侧袋机制期间的基金资产估值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本基金实施侧袋机制的，应根据本部分的约定对主袋账户资产进行估值并披露</w:t>
      </w:r>
      <w:r>
        <w:rPr>
          <w:rFonts w:ascii="宋体" w:hAnsi="宋体"/>
          <w:sz w:val="24"/>
        </w:rPr>
        <w:lastRenderedPageBreak/>
        <w:t>主袋账户的基金净值信息，暂停披露侧袋账户的基金净值信息。</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5" w:name="_Toc139637445"/>
      <w:r>
        <w:rPr>
          <w:rFonts w:ascii="宋体" w:hAnsi="宋体"/>
          <w:sz w:val="30"/>
        </w:rPr>
        <w:lastRenderedPageBreak/>
        <w:t>十三、基金的收益与分配</w:t>
      </w:r>
      <w:bookmarkEnd w:id="15"/>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1、本基金在符合基金法定分红条件的前提下可进行收益分配，每次收益分配等具体分红方案见基金管理人根据基金运作情况届时不定期发布的相关分红公告，若《基金合同》生效不满3个月则不进行收益分配；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收益分配方式分两种：现金分红与红利再投资，基金份额持有人可选择现金红利或将现金红利自动转为基金份额进行再投资；若基金份额持有人不选择，本基金默认的收益分配方式是现金分红；红利再投方式免收再投资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3、基金收益分配后基金份额净值不能低于面值，即基金收益分配基准日的基金份额净值减去每单位基金份额收益分配金额后不能低于面值；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4、每一基金份额享有同等分配权；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5、法律法规或监管机关另有规定的，从其规定。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本基金每次收益分配比例详见基金管理人发布的公告。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且对基金份额持有人利益无实质不利影响的前提下，基金管理人可在法律法规允许的前提下，按照监管部门要求履行适当程序并与基金托管人协商一致后，酌情调整以上基金收益分配原则，并于变更实施日前在规定媒介上公告，且不需召开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基金收益分配方案中应载明截至收益分配基准日的可供分配利润、基金收益分配对象、分配时间、分配数额及比例、分配方式等内容。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本基金收益分配方案由基金管理人拟定，并由基金托管人复核，依照《信息披露办法》的有关规定在规定媒介公告。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基金红利发放日距离收益分配基准日（即可供分配利润计算截止日）的时间不得超过15个工作日。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基金份额持有人自行承担。当基金份额持有人的现金红利小于一定金额，不足以支付银行转账或其他手续费用时，基金登记机构可将该基金份额持有人的现金红利转为基金份额。红利再投资的计算方法，依照登记机构相关业务规则执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（七）实施侧袋机制期间的收益分配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本基金实施侧袋机制的，侧袋账户不进行收益分配，详见本招募说明书“侧袋机制”部分的规定。</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6" w:name="_Toc139637446"/>
      <w:bookmarkStart w:id="17" w:name="_GoBack"/>
      <w:bookmarkEnd w:id="17"/>
      <w:r>
        <w:rPr>
          <w:rFonts w:ascii="宋体" w:hAnsi="宋体"/>
          <w:sz w:val="30"/>
        </w:rPr>
        <w:lastRenderedPageBreak/>
        <w:t>十四、基金的费用与税收</w:t>
      </w:r>
      <w:bookmarkEnd w:id="16"/>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4、《基金合同》生效后与基金相关的会计师费、审计费、律师费、诉讼费、仲裁费等费用；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6、基金的证券/期货交易结算费用（包括但不限于经手费、印花税、证管费、过户费、手续费、经纪商佣金、权证交易的结算费、证券/期货账户相关费用及其他类似性质的费用等）；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8、基金投资相关的开户费和维护费用；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9、因投资港股通标的股票而产生的各项合理费用；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10、按照国家有关规定和《基金合同》约定，可以在基金财产中列支的其他费用。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本基金终止清算时所发生费用，按实际支出额从基金财产总值中扣除。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本基金的管理费按前一日基金资产净值的1.</w:t>
      </w:r>
      <w:r w:rsidR="000143D5">
        <w:rPr>
          <w:rFonts w:ascii="宋体" w:hAnsi="宋体"/>
          <w:sz w:val="24"/>
        </w:rPr>
        <w:t>2</w:t>
      </w:r>
      <w:r>
        <w:rPr>
          <w:rFonts w:ascii="宋体" w:hAnsi="宋体"/>
          <w:sz w:val="24"/>
        </w:rPr>
        <w:t>0%年费率计提。管理费的计算方法如下：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H＝E×1.</w:t>
      </w:r>
      <w:r w:rsidR="000143D5">
        <w:rPr>
          <w:rFonts w:ascii="宋体" w:hAnsi="宋体"/>
          <w:sz w:val="24"/>
        </w:rPr>
        <w:t>2</w:t>
      </w:r>
      <w:r>
        <w:rPr>
          <w:rFonts w:ascii="宋体" w:hAnsi="宋体"/>
          <w:sz w:val="24"/>
        </w:rPr>
        <w:t>0%÷当年天数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逐日累计至每个月月末，按月支付。经基金管理人与基金托管人核对一致后于次月首日起3个工作日内从基金资产中一次性支付给基金管理人。若遇法定节假日、休息日或不可抗力致使无法按时支付的，顺延至最近可支付日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本基金的托管费按前一日基金资产净值的0.2</w:t>
      </w:r>
      <w:r w:rsidR="000143D5">
        <w:rPr>
          <w:rFonts w:ascii="宋体" w:hAnsi="宋体"/>
          <w:sz w:val="24"/>
        </w:rPr>
        <w:t>0</w:t>
      </w:r>
      <w:r>
        <w:rPr>
          <w:rFonts w:ascii="宋体" w:hAnsi="宋体"/>
          <w:sz w:val="24"/>
        </w:rPr>
        <w:t>%年费率计提。托管费的计算方法如下：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w:t>
      </w:r>
      <w:r w:rsidR="000143D5">
        <w:rPr>
          <w:rFonts w:ascii="宋体" w:hAnsi="宋体"/>
          <w:sz w:val="24"/>
        </w:rPr>
        <w:t>0</w:t>
      </w:r>
      <w:r>
        <w:rPr>
          <w:rFonts w:ascii="宋体" w:hAnsi="宋体"/>
          <w:sz w:val="24"/>
        </w:rPr>
        <w:t>%÷当年天数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逐日累计至每个月月末，按月支付。经基金管理人与基金托管人核对一致后于次月首日起3个工作日内从基金资产中一次性支付给基金托管人。若遇法定节假日、休息日或不可抗力致使无法按时支付的，顺延至最近可支付日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上述“（一）基金费用的种类”中第3－10项费用，根据有关法规及相应协议规定，按费用实际支出金额列入当期费用，由基金托管人从基金财产中支付。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（四）基金管理费和基金托管费的调整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基金管理人和基金托管人可根据基金发展情况调整基金管理费率和基金托管费率，此项调整需要基金份额持有人大会决议通过。基金管理人必须依照有关规定于新的费率实施日前在规定媒介上刊登公告。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（五）实施侧袋机制期间的基金费用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本基金实施侧袋机制的，与侧袋账户有关的费用可以从侧袋账户中列支，但应待侧袋账户资产变现后方可列支，有关费用可酌情收取或减免，但不得收取管理费，详见本招募说明书“侧袋机制”部分的规定。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（六）基金税收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本基金运作过程中涉及的各纳税主体，其纳税义务按国家税收法律、法规执行。基金财产投资的相关税收，由基金份额持有人承担，基金管理人或者其他扣缴</w:t>
      </w:r>
      <w:r>
        <w:rPr>
          <w:rFonts w:ascii="宋体" w:hAnsi="宋体"/>
          <w:sz w:val="24"/>
        </w:rPr>
        <w:lastRenderedPageBreak/>
        <w:t>义务人按照国家有关税收征收的规定代扣代缴。</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8" w:name="_Toc139637447"/>
      <w:r>
        <w:rPr>
          <w:rFonts w:ascii="宋体" w:hAnsi="宋体"/>
          <w:sz w:val="30"/>
        </w:rPr>
        <w:lastRenderedPageBreak/>
        <w:t>十五、基金的会计和审计</w:t>
      </w:r>
      <w:bookmarkEnd w:id="18"/>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2、基金的会计年度为公历年度的1月1日至12月31日；基金首次募集的会计年度按如下原则：如果《基金合同》生效少于2个月，可以并入下一个会计年度披露；</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法律法规或监管部门对基金会计政策另有规定的，从其规定。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1、基金管理人聘请与基金管理人、基金托管人相互独立的符合《中华人民共和国证券法》规定的会计师事务所及其注册会计师对本基金的年度财务报表进行审计。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3、基金管理人认为有充足理由更换会计师事务所，须通报基金托管人。更换会计师事务所需按照《信息披露办法》的有关规定在规定媒介公告。</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19" w:name="_Toc139637448"/>
      <w:r>
        <w:rPr>
          <w:rFonts w:ascii="宋体" w:hAnsi="宋体"/>
          <w:sz w:val="30"/>
        </w:rPr>
        <w:lastRenderedPageBreak/>
        <w:t>十六、基金的信息披露</w:t>
      </w:r>
      <w:bookmarkEnd w:id="19"/>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基金合同》及其他有关规定。相关法律法规关于信息披露的披露方式、登载媒介、报备方式等规定发生变化时，本基金从其最新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人能够按照基金合同约定的时间和方式查阅或者复制公开披露的信息资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6、法律、行政法规和中国证监会规定禁止的其他行为。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（四）本基金公开披露的信息应采用中文文本。同时采用外文文本的，基金信息披露义务人应保证不同文本的内容一致。不同文本之间发生歧义的，以中文文本为准。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1、基金招募说明书、《基金合同》、基金托管协议、基金产品资料概要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（1）《基金合同》是界定《基金合同》当事人的各项权利、义务关系，明确基金份额持有人大会召开的规则及具体程序，说明基金产品的特性等涉及投资人重大利益的事项的法律文件。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规定媒介上；基金管理人、基金托管人应当将《基金合同》、基金托管协议登载在各自网站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基金管理人应当就基金份额发售的具体事宜编制基金份额发售公告，并在披露招募说明书的当日登载于规定媒介上。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基金管理人应当在收到中国证监会确认文件的次日在规定媒介上登载《基金合同》生效公告。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基金合同生效公告中将说明基金募集情况及基金管理人、基金管理人高级管理人员、基金经理等人员以及基金管理人股东持有的基金份额、承诺持有的期限等情况。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4、基金净值信息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《基金合同》生效后，在开始办理基金份额申购或者赎回前，基金管理人应当至少每周公告一次基金份额净值和基金份额累计净值。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在开始办理基金份额申购或者赎回后，基金管理人应当在不晚于每个开放日的次日，通过规定网站、基金销售机构网站或者营业网点披露开放日的基金份额净值和基金份额累计净值。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基金管理人应当在不晚于半年度和年度最后一日的次日，在规定网站披露半年度和年度最后一日的基金份额净值和基金份额累计净值。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基金管理人应当在《基金合同》、招募说明书等信息披露文件上载明基金份额申购、赎回价格的计算方式及有关申购、赎回费率，并保证投资人能够在基金销售机构网站或营业网点查阅或者复制前述信息资料。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基金管理人应当在上半年结束之日起两个月内，编制完成基金中期报告，将中期报告登载在规定网站上，并将中期报告提示性公告登载在规定报刊上。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基金管理人应当在季度结束之日起15个工作日内，编制完成基金季度报告，将季度报告登载在规定网站上，并将季度报告提示性公告登载在规定报刊上。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基金管理人应在年度报告、中期报告、季度报告中分别披露基金管理人、基金管理人高级管理人员、基金经理等人员以及基金管理人股东持有基金的份额、期限及期间的变动情况。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出现单一投资人持有基金份额比例达到或者超过基金总份额20%的情形，为保障其他投资人权益，基金管理人应当至少在季度报告、中期报告、年度报告等定期报告文件中“影响投资者决策的其他重要信息”项下披露该投资人的类别、报告期末持有份额及占比、报告期内持有份额变化情况及本基金的特有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本基金持续运作过程中，基金管理人应当在基金年度报告和中期报告中披露基金组合资产情况及其流动性风险分析。</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本基金发生重大事件，有关信息披露义务人应当按照《信息披露办法》的有关规定编制临时报告书，并登载在规定报刊和规定网站上。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（11）涉及基金管理业务、基金财产、基金托管业务的诉讼或仲裁；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（14）基金收益分配事项；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（15）管理费、托管费、申购费、赎回费等费用计提标准、计提方式和费率发生变更；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（16）基金份额净值计价错误达基金份额净值百分之零点五；</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（21）调整基金份额类别设置；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（22）基金推出新业务或服务；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（23）发生涉及基金申购、赎回事项调整或潜在影响投资人赎回等重大事项时；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（24）基金管理人采用摆动定价机制进行估值时；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（25）基金信息披露义务人认为可能对基金份额持有人权益或者基金份额的价格产生重大影响的其他事项或中国证监会规定或基金合同约定的其他事项。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10、清算报告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11、基金投资股指期货相关信息披露</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股指期货的，在季度报告、中期报告、年度报告等定期报告和招募说明书（更新）等文件中披露股指期货交易情况，包括投资政策、持仓情况、损益情况、风险指标等，并充分揭示股指期货交易对基金总体风险的影响以及是否符合</w:t>
      </w:r>
      <w:r>
        <w:rPr>
          <w:rFonts w:ascii="宋体" w:hAnsi="宋体"/>
          <w:sz w:val="24"/>
        </w:rPr>
        <w:lastRenderedPageBreak/>
        <w:t>既定的投资政策和投资目标等。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12、投资资产支持证券信息披露</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的，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13、投资港股通标的股票相关信息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基金管理人应当在季度报告、中期报告、年度报告等定期报告和招募说明书（更新）等文件中披露港股通标的股票的投资情况。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14、实施侧袋机制期间的信息披露</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本基金实施侧袋机制的，相关信息披露义务人应当根据法律法规、基金合同和招募说明书的规定进行信息披露，详见本招募说明书“侧袋机制”部分的规定。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15、中国证监会规定的其他信息。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基金信息披露义务人公开披露基金信息，应当符合中国证监会相关基金信息披露内容与格式准则等法律法规规定。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w:t>
      </w:r>
      <w:r>
        <w:rPr>
          <w:rFonts w:ascii="宋体" w:hAnsi="宋体"/>
          <w:sz w:val="24"/>
        </w:rPr>
        <w:lastRenderedPageBreak/>
        <w:t>机构，应当制作工作底稿，并将相关档案至少保存到《基金合同》终止后10年。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（八）暂停或延迟信息披露的情形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当出现下述情况时，基金管理人和基金托管人可暂停或延迟披露基金信息：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1、基金投资所涉及的证券、期货交易所遇法定节假日或因其他原因暂停营业时；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2、发生暂停估值的情形；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3、不可抗力；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4、法律法规规定、中国证监会或《基金合同》认定的其他情形。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（九）本基金信息披露事项以法律法规规定及本章节约定的内容为准。</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0" w:name="_Toc139637449"/>
      <w:r>
        <w:rPr>
          <w:rFonts w:ascii="宋体" w:hAnsi="宋体"/>
          <w:sz w:val="30"/>
        </w:rPr>
        <w:lastRenderedPageBreak/>
        <w:t>十七、侧袋机制</w:t>
      </w:r>
      <w:bookmarkEnd w:id="20"/>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（一）侧袋机制的实施条件、实施程序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基金管理人应当在启用侧袋机制后及时发布临时公告，并及时聘请符合《中华人民共和国证券法》规定的会计师事务所进行审计并披露专项审计意见。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（二）侧袋机制实施期间的基金运作安排</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1、基金份额的申购与赎回</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为基础，按照当日份额，确认相应侧袋账户基金份额持有人名册和份额；当日收到的申购申请，按照启用侧袋机制后的主袋账户份额办理；当日收到的赎回申请，仅办理主袋账户的赎回申请并支付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（2）实施侧袋机制期间，基金管理人不办理侧袋账户份额的申购、赎回和转换；同时，基金管理人按照基金合同和本招募说明书的约定办理主袋账户份额的赎回，并根据主袋账户运作情况确定是否暂停申购。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2、实施侧袋机制期间的基金投资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招募说明书“基金的投资”部分约定的投资组合比例、投资策略、组合限制、业绩比较基准、风险收益特征等约定仅适用于主袋账户。基金管理人计算各项投资运作指标和基金业绩指标时仅需考虑主袋账户资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3、实施侧袋账户期间的基金费用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（1）侧袋机制实施期间，侧袋账户资产不收取基金管理费。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（2）与侧袋账户有关的费用可从侧袋账户中列支，但应待侧袋账户资产变现后方可列支，有关费用可酌情收取或减免。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4、基金的收益分配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侧袋机制实施期间，在主袋账户份额满足基金合同收益分配条件的情形下，基金管理人可对主袋账户份额进行收益分配。侧袋账户不进行收益分配。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5、侧袋机制的信息披露</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（1）基金净值信息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基金管理人应按照本招募说明书“基金的信息披露”部分规定的基金净值信息披露方式和频率披露主袋账户的基金净值信息。实施侧袋机制期间本基金暂停披露侧袋账户份额净值。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（2）定期报告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特定资产处置进展情况，披露报告期末特定资产可变现净值或净值区间的，该净值或净值区间并不代表特定资产最终的变现价格，不作为基金管理人对特定资产最终变现价格的承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（3）临时公告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基金管理人在启用侧袋机制、处置特定资产、终止侧袋机制以及发生其他可能对投资者利益产生重大影响的事项后应及时发布临时公告。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启用侧袋机制的临时公告内容应当包括启用原因及程序、特定资产流动性和估值情况、对投资者申购赎回的影响、风险提示等重要信息。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处置特定资产的临时公告内容应当包括特定资产处置价格和时间、向侧袋账户份额持有人支付的款项、相关费用发生情况等重要信息。</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6、侧袋账户中特定资产的处置变现和支付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终止侧袋机制后，基金管理人及时聘请符合《中华人民共和国证券法》规定的会计师事务所进行审计并披露专项审计意见。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（三）本部分关于侧袋机制的相关规定，凡是直接引用法律法规或监管规则的部分，如将来法律法规或监管规则修改导致相关内容被取消或变更的，基金管理人</w:t>
      </w:r>
      <w:r>
        <w:rPr>
          <w:rFonts w:ascii="宋体" w:hAnsi="宋体"/>
          <w:sz w:val="24"/>
        </w:rPr>
        <w:lastRenderedPageBreak/>
        <w:t>经与基金托管人协商一致并履行适当程序后，可直接对本部分内容进行修改和调整，无需召开基金份额持有人大会审议。</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1" w:name="_Toc139637450"/>
      <w:r>
        <w:rPr>
          <w:rFonts w:ascii="宋体" w:hAnsi="宋体"/>
          <w:sz w:val="30"/>
        </w:rPr>
        <w:lastRenderedPageBreak/>
        <w:t>十八、风险揭示</w:t>
      </w:r>
      <w:bookmarkEnd w:id="21"/>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本基金投资于证券市场，证券价格受整体政治、经济、社会等环境因素的影响会产生波动，从而对本基金的投资产生潜在风险，导致本基金的收益水平发生波动。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政策风险是指国家货币政策、财政政策、产业政策等宏观经济政策发生重大变化而导致的本基金投资对象的价格波动，从而给投资人带来的风险。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经济运行具有周期性的特点，市场的收益水平随经济运行的周期性变动而变动，本基金所投资的权益类和/或债券类相关投资工具的收益水平也会随之变化，从而产生风险。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金融市场利率的波动会导致证券市场价格和收益率的变动。利率不仅直接影响着债券的价格和收益率，还影响着企业的融资成本和利润。基金投资于权益类和/或债券类相关投资工具，其收益水平可能会受到利率变化的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4、购买力风险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基金的一部分收益将通过现金形式来分配，而现金的购买力可能因为通货膨胀的影响而下降，从而给投资人带来实际收益水平下降的风险。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5、再投资风险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市场利率下降将影响债券利息收入的再投资收益率。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6、债券发行人提前兑付风险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当利率下降时，拥有提前兑付权的债券发行人往往会行使该类权利。在此情形下，基金经理不得不将兑付资金再投资到收益率更低的债券上，从而影响投资组合的整体回报率。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7、上市公司经营风险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市公司的经营状况受多种因素的影响，如管理能力、行业竞争、市场前景、技术更新、财务状况、新产品研究开发等都会导致公司盈利发生变化。如果基金所投资的上市公司经营不善，其股票价格可能下跌，或者能够用于分配的利润减少，</w:t>
      </w:r>
      <w:r>
        <w:rPr>
          <w:rFonts w:ascii="宋体" w:hAnsi="宋体"/>
          <w:sz w:val="24"/>
        </w:rPr>
        <w:lastRenderedPageBreak/>
        <w:t>使基金投资收益下降。上市公司还可能出现难以预见的变化。虽然基金可以通过投资多样化来分散这种非系统风险，但不能完全避免。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8、信用风险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信用风险是指金融工具的一方到期无法履行约定义务致使本基金遭受损失的风险。基金在交易过程中可能发生交收违约或者所投资债券的发行人违约、拒绝支付到期本息等情况，从而导致基金资产损失。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9、通货膨胀风险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由于通货膨胀率提高，基金的实际投资价值会因此降低。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由于法律法规方面的原因，某些市场行为受到限制或合同不能正常执行，导致了基金资产损失的风险。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（二）基金运作风险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1、管理风险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基金管理运作过程中基金管理人的知识、经验、判断、决策、技能等，会影响其对信息的占有和对经济形势、证券价格走势的判断，从而影响本基金收益水平。此外，基金管理人的职业操守和道德标准同样都有可能对本基金回报带来负面影响。因此，本基金可能因为基金管理人的因素而影响基金收益水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2、操作或技术风险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相关当事人在业务各环节操作过程中，可能因内部控制存在缺陷或者人为因素造成操作失误或违反操作规程等导致本基金资产损失，例如，越权违规交易、会计部门欺诈、交易错误等。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的各种交易行为或者后台运作中，可能因为技术系统的故障或者差错而影响交易的正常进行或者导致投资人的利益受到影响。这种技术风险可能来自基金管理人、登记机构、销售机构、银行间债券市场、证券交易所、证券登记结算机构、中央国债登记结算有限责任公司等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（三）其他风险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1、技术风险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计算机、通讯系统、交易网络等技术保障系统或信息网络支持出现异常情况，可能导致基金的认购、申购和赎回无法按正常时限完成、登记系统瘫痪、核算系统无法按正常时限显示产生净值、基金的投资交易指令无法及时传输等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2、金融市场危机、行业竞争、代理机构违约、基金托管人违约等超出本基金管理人自身直接控制能力之外的风险，可能导致本基金或者基金份额持有人的利益受损；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3、战争、自然灾害等不可抗力因素的出现，将会严重影响证券市场的运行，可能导致基金资产的损失；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4、因人为因素而产生的风险、如内幕交易、欺诈行为等产生的风险；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5、对主要业务人员如基金经理的依赖而可能产生的风险；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6、其他意外导致的风险。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（四）本基金的特有风险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本基金基金合同在特定情况下可能终止，基金份额持有人面临基金合同终止的风险。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之日起三年后的对应自然日，若基金资产规模低于2亿元，基金合同应当按照基金合同约定的程序进行清算并终止，且不得通过召开基金持有人大会的方式延续。若届时的法律法规或中国证监会规定发生变化，上述终止规定被取消、更改或补充时，则本基金可以参照届时有效的法律法规或中国证监会规定执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2、混合型基金存在的风险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本基金为混合型基金，资产配置策略对基金的投资业绩具有较大的影响。在类别资产配置中可能会由于市场环境、公司治理、制度建设等因素的不同影响，导致资产配置偏离优化水平，为组合绩效带来风险。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3、港股通机制下，港股通标的股票投资面临的风险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港股通机制投资于香港联合交易所（以下简称：“香港联交所”）上市的股票，但基金资产并非必然投资港股通标的股票。基金资产投资港股通标的股票，除与其他投资于内地市场股票的基金所面临的共同风险外，本基金还面临港股通机制下因投资环境、投资者结构、投资标的构成、市场制度、交易规则以及税收政策等差异所带来的特有风险，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（1）港股价格波动的风险。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港股市场实行T+0回转交易机制（即当日买入的股票，在交收前可以于当日卖出），同时对个股不设涨跌幅限制，每日涨跌幅空间相对较大；加之香港金融市场</w:t>
      </w:r>
      <w:r>
        <w:rPr>
          <w:rFonts w:ascii="宋体" w:hAnsi="宋体"/>
          <w:sz w:val="24"/>
        </w:rPr>
        <w:lastRenderedPageBreak/>
        <w:t>结构性产品和衍生品种类相对丰富以及做空机制的存在；港股股价受到意外事件影响可能表现出比A股更为剧烈的价格波动，本基金持有港股的价格波动风险可能相对较大。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（2）汇率风险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故本基金承担港元对人民币汇率波动的风险，以及因汇率大幅波动引起账户透支或资金被额外占用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（3）港股通交易日风险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现行的港股通规则，只有境内、香港两地均为交易日且能够满足结算安排的交易日才为港股通交易日，本基金才开放申购赎回。因此会存在港股通交易日不连贯的情形（如内地市场因放假等原因休市而香港市场照常交易但非港股通交易日时，香港出现台风、黑色暴雨或者香港联交所规定的其他情形导致停市时，出现交易异常情况等交易所可能暂停提供部分或者全部港股通服务的情形时），从而导致本基金暂停申赎，或在内地开市香港休市的情形下，港股通不能正常交易，港股不能及时卖出，带来一定的流动性风险，并使得本基金所持有的港股在后续港股通交易日开市交易时有可能出现价格波动骤然增大，进而导致本基金所持有的港股在资产估值上出现波动增大的风险，进而影响基金份额净值出现较大波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（4）港股通额度限制带来的风险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现行的港股通规则，对港股通设有每日额度上限。本基金可能因为港股通市场总额度或每日额度不足，面临不能及时通过港股通进行买入交易的风险，进而可能错失投资机会。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（5）交收制度带来的基金流动性风险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港股通在证券交收时点上的交收安排，本基金在港股通交易日卖出股票，该港股通交易日后第2个港股通交易日才能完成清算交收，卖出的资金在该港股通交易日后第3个港股通交易日才能回到人民币资金账户。因此交收制度的不同以及港股通交易日的设定原因，本基金可能面临卖出港股后资金不能及时到账，而造成赎回款支付时间比正常情况延后而给投资人带来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（6）港股通制度下对公司行为的处理规则带来的风险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根据现行的港股通规则，本基金因所持港股通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本基金存在因上述规则，投资收益得不到最大化甚至受损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4、非必然投资港股的风险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本基金港股通标的的投资比例为股票资产的0-50%，因此本基金可根据投资策略需要或不同配置地市场环境的变化，选择将部分基金资产投资于港股或选择不将基金资产投资于港股，基金资产并非必然投资港股。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5、投资股指期货的风险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（1）基差风险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在使用股指期货对冲市场风险的过程中，基金财产可能因为股指期货合约与标的指数价格波动不一致而遭受基差风险。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（2）系统性风险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组合现货的β可能不足或者过高，组合风险敞口过大，股指期货空头头寸不能完全对冲现货的风险，组合存在系统性暴露的风险。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（3）保证金风险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产品的期货头寸，如果未预留足够现金，在市场出现极端情况时，可能遭遇保证金不足而被强制平仓的风险。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（4）合约展期风险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组合持有的主力合约交割日临近，需要更换合约进行展期，如果合约的基差朝不利的方向变化或流动性不足，展期会面临风险。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6、投资资产支持证券的风险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支持证券的投资风险主要包括流动性风险、利率风险及评级风险等。由于资产支持证券的投资收益来自于基础资产产生的现金流或剩余权益，因此资产支持证券投资还面临基础资产特定原始权益人的破产风险及现金流预测风险等与基础资产相关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7、投资科创板股票的风险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（1）市场风险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科创板个股上市前五日无涨跌停限制，其后涨跌幅限制在正负20%以内，个股波动幅度较其他股票加大，市场风险随之上升。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科创板整体投资门槛较高，个人投资者必须满足交易满两年并且资金在50万以上才可参与，二级市场上个人投资者参与度相对较低。机构投资者在投资决策上具有一定的趋同性，将会造成市场的流动性风险。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（3）信用风险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科创板试点注册制，对经营状况不佳或财务数据造假的企业实行严格的退市制度，科创板个股存在退市风险。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8、投资存托凭证的风险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本基金的投资范围包括存托凭证，若投资可能面临中国存托凭证价格大幅波动甚至出现较大亏损的风险，以及与创新企业、境外发行人、中国存托凭证发行机制以及交易机制等相关的风险。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9、侧袋机制的相关风险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w:t>
      </w:r>
      <w:r>
        <w:rPr>
          <w:rFonts w:ascii="宋体" w:hAnsi="宋体"/>
          <w:sz w:val="24"/>
        </w:rPr>
        <w:lastRenderedPageBreak/>
        <w:t>离并化解风险。但基金启用侧袋机制后，侧袋账户份额将停止披露基金净值信息，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基金管理人将根据主袋账户运作情况合理确定申购政策，因此实施侧袋机制后主袋账户份额存在暂停申购的可能。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10、投资北京证券交易所股票的风险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（1）上市公司经营风险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上市企业主要为创新成长型企业，普遍具有规模小、对技术依赖性强、技术迭代快、议价能力不强等特点，或尚处于初步发展阶段，业务收入、现金流及盈利水平等具有较大不确定性。该类企业抗市场风险和行业风险能力较弱，存在较大经营风险，由此可能对基金净值造成不利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（2）股价大幅波动风险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相较于沪/深证券交易所，北交所竞价交易设置了更宽的涨跌幅限制，股票上市交易首日不设涨跌幅限制，其后涨跌幅限制为30%，股价大幅波动的风险可能大于A股其他板块，由此可能导致基金净值较大幅度的波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股票投资门槛较高，二级市场上个人投资者参与度相对较低，机构投资者持有个股大量流通盘将导致个股流动性较差，若机构投资者在特定阶段对个股形成一致预期，由此可能导致基金面临无法及时变现及其他相关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（4）转板风险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北交所上市公司在满足相关法律法规和证监会规定的基本上市条件并符合交易所规定的具体上市条件的，可申请转板上市。无论北交所上市公司是否转板成功，均可能引起基金净值波动。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（5）退市风险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北交所上市公司后续经营期间如果触及相关法律法规、证监会及交易所等规定的退市情形，可能面临被终止上市的风险，从而可能给基金净值带来不利影响。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（6）系统性风险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因北交所上市公司大部分为新兴产业公司，其商业模式、盈利风险、业绩波动等特征较为相似，基金难以通过分散投资降低投资风险，若股票价格同向波动，将引起基金净值波动。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同时，北交所上市公司平移自新三板精选层，从历史来看整体估值受政策阶段性影响较大，所以北交所个股估值相关性较高，政策空窗期或市场表现不佳时，系统性风险将更为显著。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（7）集中度风险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北交所为新设交易所，初期可投资标的较少，投资者容易集中投资于少量个股，市场可能存在高集中度状况。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（8）政策风险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国家对高新技术、专精特新企业扶持力度及重视程度的变化会对北交所上市公司带来较大影响，国际经济形势变化对专精特新产业及北交所个股也会带来政策影响。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（9）监管规则变化的风险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相关法律、行政法规、部门规章、规范性文件和交易所业务规则，可能根据市场情况进行修订和完善，或者补充制定新的法律法规和业务规则，可能对基金投资运作产生影响，或导致基金投资运作相应调整变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（五）流动性风险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1、基金申购、赎回安排</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投资人具体请参见基金合同“第六部分、基金份额的申购与赎回”和本招募说明书“八、基金份额的申购与赎回”，详细了解本基金的申购以及赎回安排。</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在本基金发生流动性风险时，基金管理人可以综合利用备用的流动性风险管理工具以减少或应对基金的流动性风险，投资人可能面临巨额赎回申请被延期办理、</w:t>
      </w:r>
      <w:r>
        <w:rPr>
          <w:rFonts w:ascii="宋体" w:hAnsi="宋体"/>
          <w:sz w:val="24"/>
        </w:rPr>
        <w:lastRenderedPageBreak/>
        <w:t>赎回申请被暂停接受、赎回款项被延缓支付、被收取短期赎回费、基金估值被暂停等风险。投资人应该了解自身的流动性偏好，并评估是否与本基金的流动性风险匹配。</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2、拟投资市场、行业及资产的流动性风险评估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把握股票市场、债券市场、银行间市场的收益率变化，在控制风险的前提下为投资人获取稳健回报，且本基金并非主要投资于非流动性受限资产的股票、债券及不存在活跃市场需要采用估值技术确定公允价值的投资品种，因此本基金投资组合资产变现能力较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基金出现巨额赎回且单个基金份额持有人的赎回申请超过上一开放日基金总份额的20%时，基金管理人认为支付该基金份额持有人的全部赎回申请有困难或认为因支付该基金份额持有人的全部赎回申请而进行的财产变现可能会对基金资产净值造成较大波动时，对于该基金份额持有人当日提出的赎回申请中超过上一开放日基金总份额20%部分（不含20%），基金管理人可以延期办理。对于未能赎回部分，单个基金份额持有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当出现巨额赎回时，基金转换中转出份额的申请的处理方式遵照相关的业务规则及相关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该基金份额持有人当日提出的赎回申请中未超过上一开放日基金总份额20%的部分（含20%），基金管理人可以采取全额赎回或部分延期赎回的方式，与其他基金份额持有人的赎回申请一并办理，并且对于该基金份额持有人和其他基金份额持有人的赎回申请采取相同的处理方式。对于前述未能赎回部分，基金份额持有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选择取消赎回的，当日未获受理的部分赎回申请将被撤销。如该单个基金份</w:t>
      </w:r>
      <w:r>
        <w:rPr>
          <w:rFonts w:ascii="宋体" w:hAnsi="宋体"/>
          <w:sz w:val="24"/>
        </w:rPr>
        <w:lastRenderedPageBreak/>
        <w:t>额持有人在提交赎回申请时未作明确选择，该单个基金份额持有人未能赎回部分作自动延期赎回处理。部分延期赎回不受单笔赎回最低份额的限制。基金转换中转出份额的申请的处理方式遵照相关的业务规则及相关公告。</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4、实施备用的流动性风险管理工具对基金投资人潜在影响的风险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特殊情形下，基金管理人可能会实施备用流动性风险管理工具，包括而不限于延期办理巨额赎回申请、暂停接受赎回申请、延缓支付赎回款项、收取短期赎回费、暂停基金估值以及中国证监会认定的其他措施。如果基金管理人实施备用流动性风险管理工具当中的一种或几种，基金投资人可能会面临赎回效率降低、赎回款延期到账、支付较高的赎回费用以及暂时无法获取基金净值等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某些情况下如果基金持有的某些投资品种的流动性不佳、交易量不足，将会导致证券交易的执行难度提高，例如该投资品种的买入成本提高，或者不能迅速、低成本地变现，从而对基金财产造成不利的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的运作方式为契约型开放式，基金规模将随着基金投资人对基金份额的申购和赎回而不断波动。若由于基金出现巨额赎回，导致本基金的现金支付出现困难，或被迫在不适当的价格大量抛售证券，将会使基金资产净值受到不利影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7、实施侧袋机制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投资人具体请参见本招募说明书“十七、侧袋机制”，详细了解本基金侧袋机制的情形及程序。</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2" w:name="_Toc139637451"/>
      <w:r>
        <w:rPr>
          <w:rFonts w:ascii="宋体" w:hAnsi="宋体"/>
          <w:sz w:val="30"/>
        </w:rPr>
        <w:lastRenderedPageBreak/>
        <w:t>十九、基金合同的变更、终止与基金财产的清算</w:t>
      </w:r>
      <w:bookmarkEnd w:id="22"/>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法律法规规定和基金合同约定的可不经基金份额持有人大会决议通过的事项，由基金管理人和基金托管人同意后变更并公告，并报中国证监会备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2、关于《基金合同》变更的基金份额持有人大会决议自生效后方可执行，并自决议生效后依照《信息披露办法》的有关规定在规定媒介公告。若法律法规发生变化，则以变化后的规定为准。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有下列情形之一的，并在履行相关程序后，《基金合同》应当终止：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3、《基金合同》生效之日起三年后的对应自然日，基金资产规模低于2亿元的；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1、基金财产清算小组：《基金合同》终止事由出现后，基金管理人组织基金财产清算小组并在中国证监会的监督下进行基金清算。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3、在基金财产清算过程中，基金管理人和基金托管人应各自履行职责，继续忠实、勤勉、尽责地履行基金合同和托管协议规定的义务，维护基金份额持有人的合法权益。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4、基金财产清算小组职责：基金财产清算小组负责基金财产的保管、清理、估价、变现和分配。基金财产清算小组可以依法进行必要的民事活动。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5、基金财产清算程序：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（1）《基金合同》终止情形出现后，由基金财产清算小组统一接管基金；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6、基金财产清算的期限为6个月。因本基金所持证券的流动性受到限制而不能及时变现的，清算期限相应顺延。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清算费用是指基金财产清算小组在进行基金清算过程中发生的所有合理费用，清算费用由基金财产清算小组优先从基金剩余财产中支付。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符合《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3" w:name="_Toc139637452"/>
      <w:r>
        <w:rPr>
          <w:rFonts w:ascii="宋体" w:hAnsi="宋体"/>
          <w:sz w:val="30"/>
        </w:rPr>
        <w:lastRenderedPageBreak/>
        <w:t>二十、基金合同的内容摘要</w:t>
      </w:r>
      <w:bookmarkEnd w:id="23"/>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一、基金份额持有人、基金管理人和基金托管人的权利、义务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（一）基金管理人的权利与义务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（6）依据《基金合同》及有关法律规定监督基金托管人，如认为基金托管人违反了《基金合同》及国家有关法律规定，应呈报中国证监会和其他监管部门，并采取必要措施保护基金投资人的利益；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（11）在《基金合同》约定的范围内，拒绝或暂停受理申购、赎回和转换申请；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（12）依照法律法规为基金的利益对被投资公司行使股东权利，为基金的利益行使因基金财产投资于证券/期货所产生的权利；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（15）选择、更换律师事务所、会计师事务所、证券/期货经纪商或其他为基</w:t>
      </w:r>
      <w:r>
        <w:rPr>
          <w:rFonts w:ascii="宋体" w:hAnsi="宋体"/>
          <w:sz w:val="24"/>
        </w:rPr>
        <w:lastRenderedPageBreak/>
        <w:t>金提供服务的外部机构；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（16）在符合有关法律、法规的前提下，制订和调整有关基金认购、申购、赎回、转换、非交易过户、转托管等业务的规则；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（1）依法募集资金，办理或者委托经中国证监会认定的其他机构代为办理基金份额的发售、申购、赎回和登记事宜；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（5）建立健全内部风险控制、监察与稽核、财务管理及人事管理等制度，保证所管理的基金财产和基金管理人的财产相互独立，对所管理的不同基金分别管理，分别记账，进行证券/期货投资；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法律法规或监管机构另有规定或要求外，在基金信息公开披露前应予保密，不向他人泄露，因审计、法律等外部专业顾问提供服务而向其提供的情况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（13）按《基金合同》的约定确定基金收益分配方案，及时向基金份额持有人分配基金收益；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（24）基金管理人在募集期间未能达到基金的备案条件，《基金合同》不能生效，基金管理人承担全部募集费用，将已募集资金并加计银行同期活期存款利息（税后）在基金募集期结束后30日内退还基金认购人；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（二）基金托管人的权利与义务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1、根据《基金法》、《运作办法》及其他有关规定，基金托管人的权利包括但不限于：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（1）自《基金合同》生效之日起，依法律法规和《基金合同》的规定安全保管基金财产；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（4）根据相关市场规则，为基金开设资金账户、证券账户等投资所需账户，为基金办理证券/期货交易资金清算；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（6）按规定开设基金财产的资金账户、证券账户等投资所需账户，按照《基金合同》的约定，根据基金管理人的投资指令，及时办理清算、交割事宜；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（7）保守基金商业秘密，除《基金法》、《基金合同》及其他有关法律法规或监管机构另有规定或要求外，在基金信息公开披露前予以保密，不得向他人泄露，</w:t>
      </w:r>
      <w:r>
        <w:rPr>
          <w:rFonts w:ascii="宋体" w:hAnsi="宋体"/>
          <w:sz w:val="24"/>
        </w:rPr>
        <w:lastRenderedPageBreak/>
        <w:t>因审计、法律等外部专业顾问提供服务而向其提供的情况除外；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（8）复核、审查基金管理人计算的基金资产净值、基金份额净值、基金份额申购、赎回价格；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（三）基金份额持有人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基金投资人持有本基金基金份额的行为即视为对《基金合同》的承认和接受，基金投资人自依据《基金合同》取得基金份额，即成为本基金的基金份额持有人和</w:t>
      </w:r>
      <w:r>
        <w:rPr>
          <w:rFonts w:ascii="宋体" w:hAnsi="宋体"/>
          <w:sz w:val="24"/>
        </w:rPr>
        <w:lastRenderedPageBreak/>
        <w:t>《基金合同》的当事人，直至其不再持有本基金的基金份额。基金份额持有人作为《基金合同》当事人并不以在《基金合同》上书面签章或签字为必要条件。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每份基金份额具有同等的合法权益。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（3）依照法律法规及本基金合同的规定申请赎回或转让其持有的基金份额；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（4）缴纳基金认购、申购款项及法律法规和《基金合同》所规定的费用；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（9）发起资金提供方认购的基金份额持有期限不少于3年；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（10）法律法规及中国证监会规定的和《基金合同》约定的其他义务。</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二、基金份额持有人大会召集、议事及表决的程序和规则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若将来法律法规对基金份额持有人大会另有规定的，以届时有效的法律法规为准。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（一）召开事由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1、除法律法规、中国证监会另有规定外，当出现或需要决定下列事由之一的，应当召开基金份额持有人大会：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（1）终止《基金合同》（基金合同另有规定的除外）；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2、在不违反法律法规规定和基金合同约定的前提下，当出现以下情况可由基金管理人和基金托管人协商后修改，不需召开基金份额持有人大会：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（1）法律法规要求增加的基金费用的收取；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（2）在法律法规和《基金合同》规定的范围内、且对基金份额持有人利益无</w:t>
      </w:r>
      <w:r>
        <w:rPr>
          <w:rFonts w:ascii="宋体" w:hAnsi="宋体"/>
          <w:sz w:val="24"/>
        </w:rPr>
        <w:lastRenderedPageBreak/>
        <w:t>实质性不利影响的前提下，调整本基金的申购费率，变更收费方式，调低赎回费率或除基金管理费、基金托管费之外的其他应由基金承担的费用；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（3）因相应的法律法规发生变动而应当对《基金合同》进行修改；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（4）对《基金合同》的修改对基金份额持有人利益无实质性不利影响或修改不涉及《基金合同》当事人权利义务关系发生重大变化；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（5）在对基金份额持有人利益无实质性不利影响的前提下，基金管理人、销售机构、登记机构调整有关基金认购、申购、赎回、转换、非交易过户、转托管等业务的规则；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（6）在对基金份额持有人利益无实质性不利影响的前提下，基金推出新业务或服务；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（7）按照法律法规和《基金合同》规定不需召开基金份额持有人大会的其他情形。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（二）会议召集人及召集方式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w:t>
      </w:r>
      <w:r>
        <w:rPr>
          <w:rFonts w:ascii="宋体" w:hAnsi="宋体"/>
          <w:sz w:val="24"/>
        </w:rPr>
        <w:lastRenderedPageBreak/>
        <w:t>理人，基金管理人应当配合。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（三）召开基金份额持有人大会的通知时间、通知内容、通知方式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1、召开基金份额持有人大会，召集人应于会议召开前30日，在规定媒介公告。基金份额持有人大会不得就未经公告的事项进行表决。基金份额持有人大会通知应至少载明以下内容：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2、采取通讯开会方式并进行表决的情况下，由会议召集人决定在会议通知中说明本次基金份额持有人大会所采取的具体通讯方式、委托的公证机关及其联系方式和联系人、表决意见提交的截止时间和收取方式。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（四）基金份额持有人出席会议的方式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基金份额持有人大会可通过现场开会方式、通讯开会方式以及法律法规或监管</w:t>
      </w:r>
      <w:r>
        <w:rPr>
          <w:rFonts w:ascii="宋体" w:hAnsi="宋体"/>
          <w:sz w:val="24"/>
        </w:rPr>
        <w:lastRenderedPageBreak/>
        <w:t>机构允许的其他方式召开，会议的召开方式由会议召集人确定。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有关证明文件、受托出席会议者出具的委托人持有基金份额的有关证明文件及委托人的代理投票授权委托证明及有关证明文件符合法律法规、《基金合同》和会议通知的规定，并且持有基金份额的凭证与基金管理人持有的登记资料相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按照本基金合同的相关规定以召集人通知的非现场方式（包括邮寄、网络、电话、短信或其他方式）进行表决，基金份额持有人将其对表决事项的投票以召集人通知载明的非现场方式在表决截止日以前送达至召集人指定的地址或系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（3）本人直接出具表决意见或授权他人代表出具表决意见的，基金份额持有人所持有的基金份额不小于在权益登记日基金总份额的二分之一（含二分之一）；</w:t>
      </w:r>
      <w:r>
        <w:rPr>
          <w:rFonts w:ascii="宋体" w:hAnsi="宋体"/>
          <w:sz w:val="24"/>
        </w:rPr>
        <w:lastRenderedPageBreak/>
        <w:t>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基金份额持有人直接出具表决意见或授权他人代表出具表决意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或监管机构允许的情况下，经会议通知载明，本基金亦可采用其他非现场方式或者以现场方式与非现场方式相结合的方式召开基金份额持有人大会，会议程序比照现场开会和通讯方式开会的程序进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4、基金份额持有人授权他人代为出席会议并表决的，在法律法规或监管机构允许的情况下，授权方式可以采用书面、网络、电话、短信或其他方式，召集人接受的具体授权方式在会议通知中列明。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（五）议事内容与程序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单独或合并持有权益登记日基金总份额10%（含10%）以上的基金份额持有人可以在基金份额持有人大会召集人发出会议通知前向大会召集人提交需由基金份额持有人大会审议表决的提案；也可以在会议通知发出后向大会召集人提交临时提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基金份额持有人大会的召集人发出召开会议的通知后，如果需要对原有提案进行修改，应当在基金份额持有人大会召开前30日及时公告。否则，会议的召开日期应当顺延并保证至少与公告日期有30日的间隔期。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召集人对于基金管理人、基金托管人和基金份额持有人提交的临时提案进行审核，符合条件的应当在大会召开日30天前公告。大会召集人应当按照以下原则对提案进行审核：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规定程序宣布会议议事程序及注意事项，确定和公布监票人，然后由大会主持人宣读提案，经讨论后进行表决，经合法执业的律师见证后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在通讯开会的情况下，首先由召集人提前30日公布提案，在所通知的表决截止日期后5个工作日内在公证机关监督下由召集人统计全部有效表决，在公证机关监督下形成决议。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（六）表决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除法律法规另有规定、基金合同另有约定外，转换基金运作方式、更换基金管理人或者基金托管人、终止《基金合同》、本基金与其他基金合并以特别决议通过方为有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监督员及公证机关均认为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在上述规则的前提下，具体规则以召集人发布的基金份额持有人大会通知为准。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w:t>
      </w:r>
      <w:r>
        <w:rPr>
          <w:rFonts w:ascii="宋体" w:hAnsi="宋体"/>
          <w:sz w:val="24"/>
        </w:rPr>
        <w:lastRenderedPageBreak/>
        <w:t>公布计票结果。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（八）生效与公告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基金份额持有人大会的决议自表决通过之日起生效。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（九）实施侧袋机制期间基金份额持有人大会的特殊约定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w:t>
      </w:r>
      <w:r>
        <w:rPr>
          <w:rFonts w:ascii="宋体" w:hAnsi="宋体"/>
          <w:sz w:val="24"/>
        </w:rPr>
        <w:lastRenderedPageBreak/>
        <w:t>日相关基金份额的二分之一（含二分之一）；</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3、通讯开会的直接出具表决意见或授权他人代表出具表决意见的基金份额持有人所持有的基金份额不小于在权益登记日相关基金份额的二分之一（含二分之一）；</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5、现场开会由出席大会的基金份额持有人和代理人所持表决权的50%以上（含50%）选举产生一名基金份额持有人作为该次基金份额持有人大会的主持人；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根据新颁布的法律法规或监管规则协商一致报监管机关并履行适当程序后，可相应对本部分内容进行修改和调整，且无需召开基金份额持有人大会。</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三、基金合同解除和终止的事由、程序以及基金财产清算方式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开基金份额持有人大会决议通过。对于法律法规规定和基金合同约定的可不经基金份额持有人大会决议通过的事项，由基金管理人和基金托管人同意后变更并公告，并报中国证监会备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2、关于《基金合同》变更的基金份额持有人大会决议自生效后方可执行，并自决议生效后依照《信息披露办法》的有关规定在规定媒介公告。若法律法规发生变化，则以变化后的规定为准。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（二）《基金合同》的终止事由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有下列情形之一的，并在履行相关程序后，《基金合同》应当终止：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3、《基金合同》生效之日起三年后的对应自然日，基金资产规模低于2亿元的；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1、基金财产清算小组：《基金合同》终止事由出现时，基金管理人组织基金财产清算小组并在中国证监会的监督下进行基金清算。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3、在基金财产清算过程中，基金管理人和基金托管人应各自履行职责，继续忠实、勤勉、尽责地履行基金合同和托管协议规定的义务，维护基金份额持有人的合法权益。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4、基金财产清算小组职责：基金财产清算小组负责基金财产的保管、清理、估价、变现和分配。基金财产清算小组可以依法进行必要的民事活动。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6、基金财产清算的期限为6个月。因本基金所持证券的流动性受到限制而不能</w:t>
      </w:r>
      <w:r>
        <w:rPr>
          <w:rFonts w:ascii="宋体" w:hAnsi="宋体"/>
          <w:sz w:val="24"/>
        </w:rPr>
        <w:lastRenderedPageBreak/>
        <w:t>及时变现的，清算期限相应顺延。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清算费用是指基金财产清算小组在进行基金清算过程中发生的所有合理费用，清算费用由基金财产清算小组优先从基金剩余财产中支付。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符合《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四、争议的处理和适用的法律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性的，对各方当事人均具有约束力，除非仲裁裁决另有规定，仲裁费用由败诉方承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争议处理期间，基金合同当事人应恪守各自的职责，继续忠实、勤勉、尽责地履行基金合同和托管协议规定的义务，维护基金份额持有人的合法权益。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本基金合同受中国法律（为本基金合同之目的，不包括香港特别行政区、澳门特别行政区和台湾地区法律）管辖，并按其解释。</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五、基金合同存放地和投资人取得基金合同的方式</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《基金合同》可印制成册，供投资人在基金管理人、基金托管人、销售机构的办公场所和营业场所查阅。</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4" w:name="_Toc139637453"/>
      <w:r>
        <w:rPr>
          <w:rFonts w:ascii="宋体" w:hAnsi="宋体"/>
          <w:sz w:val="30"/>
        </w:rPr>
        <w:lastRenderedPageBreak/>
        <w:t>二十一、基金托管协议的内容摘要</w:t>
      </w:r>
      <w:bookmarkEnd w:id="24"/>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一、基金托管协议当事人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名称：银华基金管理股份有限公司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注册地址：深圳市福田区深南大道6008号特区报业大厦19层</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办公地址：北京市东城区东长安街1号东方广场东方经贸城C2办公楼15层</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邮政编码：100738</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法定代表人：王珠林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成立日期：2001年5月28日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批准设立机关及批准设立文号：中国证监会证监基金字［2001］7号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注册资本：2.222亿元人民币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经营范围：基金募集、基金销售、资产管理、中国证监会许可的其他业务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注册地址：北京市东城区建国门内大街69号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办公地址：北京市西城区复兴门内大街28号凯晨世贸中心东座九层</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邮政编码：100031</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成立时间：2009年1月15日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基金托管资格批准文号：中国证监会证监基字[1998]23号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w:t>
      </w:r>
      <w:r>
        <w:rPr>
          <w:rFonts w:ascii="宋体" w:hAnsi="宋体"/>
          <w:sz w:val="24"/>
        </w:rPr>
        <w:lastRenderedPageBreak/>
        <w:t>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包括国内依法发行或上市的股票（包括中小板股票、创业板股票、存托凭证及其他经中国证监会核准上市的股票）、港股通标的股票、债券（包括国债、金融债券、企业债券、公司债券、央行票据、中期票据、短期融资券、超短期融资券、次级债券、地方政府债券、可转换公司债券及分离交易可转债、可交换债券以及其他中国证监会允许投资的债券）、资产支持证券、债券回购、银行存款（包括协议存款、定期存款及其他银行存款）、现金、权证、股指期货以及法律法规或中国证监会允许基金投资的其他金融工具（但须符合中国证监会的相关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如法律法规或监管机构以后允许基金投资其他品种，基金管理人在履行适当程序后，可以将其纳入本基金的投资范围，其投资比例遵循届时有效的法律法规和相关规定。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组合比例为：股票资产占基金资产的比例为50%—95%（其中投资于港股通标的股票的比例占股票资产的0%-50%）。其余资产投资于债券、资产支持证券、债券回购、银行存款（包括协议存款、定期存款及其他银行存款）、现金、权证、股指期货等金融工具；权证投资不得超过基金资产净值的3%；每个交易日日</w:t>
      </w:r>
      <w:r>
        <w:rPr>
          <w:rFonts w:ascii="宋体" w:hAnsi="宋体"/>
          <w:sz w:val="24"/>
        </w:rPr>
        <w:lastRenderedPageBreak/>
        <w:t>终在扣除股指期货合约需缴纳的交易保证金后，现金或者到期日在一年以内的政府债券不低于基金资产净值的5%，其中，现金不包括结算备付金、存出保证金、应收申购款等。本基金将港股通标的股票投资的比例下限设为零，本基金可根据投资策略需要或不同配置地市场环境的变化，选择将部分基金资产投资于港股通标的股票或选择不将基金资产投资于港股通标的股票，基金资产并非必然投资港股通标的股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（二）基金托管人根据有关法律法规的规定及基金合同的约定，对基金投资比例进行监督。基金托管人按下述比例和调整期限进行监督：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（1）股票资产占基金资产的比例为50%—95%（其中投资于港股通标的股票的比例占股票资产的0%-50%）；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（2）本基金每个交易日日终在扣除股指期货合约需缴纳的交易保证金后，保持不低于基金资产净值5%的现金或到期日在一年以内的政府债券，其中，现金不包括结算备付金、存出保证金、应收申购款等；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（3）本基金持有一家公司发行的证券（同一家公司在内地和香港同时上市的A+H股合计计算），其市值不超过基金资产净值的10%；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（4）本基金管理人管理的、且由本基金托管人托管的全部基金持有一家公司发行的证券（同一家公司在内地和香港同时上市的A+H股合计计算），不超过该证券的10%；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（6）本基金持有的全部权证，其市值不得超过基金资产净值的3%；</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（7）本基金管理人管理的、且由本基金托管人托管的全部基金持有的同一权证，不得超过该权证的10%；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（8）本基金在任何交易日买入权证的总金额，不得超过上一交易日基金资产净值的0.5%；</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（9）本基金的基金资产总值不得超过基金资产净值的140%；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（10）本基金投资于同一原始权益人的各类资产支持证券的比例，不得超过基金资产净值的10%；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（11）本基金持有的全部资产支持证券，其市值不得超过基金资产净值的20%；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（12）本基金持有的同一(指同一信用级别)资产支持证券的比例，不得超过该资产支持证券规模的10%；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（13）本基金管理人管理的、且由本基金托管人托管的全部基金投资于同一原始权益人的各类资产支持证券，不得超过其各类资产支持证券合计规模的10%；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主动投资于流动性受限资产的市值合计不得超过基金资产净值的15%；因证券市场波动、上市公司股票停牌、基金规模变动等基金管理人之外的因素致使基金不符合前述所规定比例限制的，基金管理人不得主动新增流动性受限资产的投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（15）本基金应投资于信用级别评级为BBB以上(含BBB)的资产支持证券。基金持有资产支持证券期间，如果其信用等级下降、不再符合投资标准，应在评级报告发布之日起3个月内予以全部卖出；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（16）本基金与私募类证券资管产品及中国证监会认定的其他主体为交易对手开展逆回购交易的，可接受质押品的资质要求应当与基金合同约定的投资范围保持一致；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（17）基金财产参与股票发行申购，本基金所申报的金额不超过本基金的总资产，本基金所申报的股票数量不超过拟发行股票公司本次发行股票的总量；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（18）本基金进入全国银行间同业市场进行债券回购的资金余额不得超过基金资产净值的40%；本基金在全国银行间同业市场中的债券回购最长期限为1年，债券回购到期后不得展期；</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（19）本基金参与股指期货交易，则需遵守下列投资比例限制：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股指期货合约价值与有价证券市值之和，不得超过基金资产净值的95%；其中，有价证券指股票、债券（不含到期日在一年以内的政府债券）、权证、资产支持证券、买入返售金融资产（不含质押式</w:t>
      </w:r>
      <w:r>
        <w:rPr>
          <w:rFonts w:ascii="宋体" w:hAnsi="宋体"/>
          <w:sz w:val="24"/>
        </w:rPr>
        <w:lastRenderedPageBreak/>
        <w:t>回购）等；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3）本基金在任何交易日日终，持有的卖出股指期货合约价值不得超过基金持有的股票总市值的20%；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（20）本基金投资存托凭证的比例限制依照境内上市交易的股票执行，与境内上市交易的股票合并计算；</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（21）法律法规及中国证监会规定的和《基金合同》约定的其他投资限制。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14）、（15）、（16）项外，因证券市场及期货市场波动、证券发行人合并、基金规模变动或港股通额度已满等基金管理人之外的因素致使基金投资比例不符合上述规定投资比例的，基金管理人应当在10个交易日内进行调整，但中国证监会规定的特殊情形除外。因港股通额度已满等基金管理人之外的因素致使不能在10个交易日内完成调整的，基金管理人应当在合理时间内进行调整。法律法规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本基金投资流通受限证券，基金管理人应根据中国证监会相关规定进行投资。基金管理人应制订严格的投资决策流程和风险控制制度，防范流动性风险、法律风险和操作风险等各种风险。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对上述投资组合比例限制进行变更的，本基金在履行适当程序后，可相应调整投资比例限制规定。法律法规或监管部门取消上述限制，如适用于本基金，本基金在履行适当程序后，则本基金投资不再受相关限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（三）基金托管人根据有关法律法规的规定及基金合同的约定，对本协议第十五条第十一项基金投资禁止行为进行监督。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w:t>
      </w:r>
      <w:r>
        <w:rPr>
          <w:rFonts w:ascii="宋体" w:hAnsi="宋体"/>
          <w:sz w:val="24"/>
        </w:rPr>
        <w:lastRenderedPageBreak/>
        <w:t>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法律、行政法规或监管部门取消或变更上述限制，如适用于本基金，则本基金投资不再受相关限制或以变更后的规定为准。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（五）基金托管人根据有关法律法规的规定及基金合同的约定，对基金管理人投资银行存款进行监督。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基金投资银行存款的，基金管理人应根据法律法规的规定及基金合同的约定，建立投资制度、审慎选择存款银行，做好风险控制；并按照基金托管人的要求配合基金托管人完成相关业务办理。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（六）基金托管人根据有关法律法规的规定及基金合同的约定，对基金投资流通受限证券进行监督。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1、基金投资流通受限证券，应遵守《关于基金投资非公开发行股票等流通受限证券有关问题的通知》等有关法律法规规定。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此处的流通受限证券与上文提及的流动性受限资产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4.在投资流通受限证券之前，基金管理人应至少提前一个交易日向基金托管人提供有关流通受限证券的相关信息，具体应当包括但不限于如下文件（如有）：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6.基金管理人应保证基金投资的流通受限证券登记存管在本基金名下，并确保</w:t>
      </w:r>
      <w:r>
        <w:rPr>
          <w:rFonts w:ascii="宋体" w:hAnsi="宋体"/>
          <w:sz w:val="24"/>
        </w:rPr>
        <w:lastRenderedPageBreak/>
        <w:t>证基金托管人能够正常查询。因基金管理人原因产生的流通受限证券登记存管问题，造成基金财产的损失或基金托管人无法安全保管基金财产的责任与损失，由基金管理人承担。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托管人根据有关法律法规的规定及基金合同的约定，对基金资产净值计算、基金份额净值及基金份额累计净值计算、应收资金到账、基金费用开支及收入确定、基金收益分配、相关信息披露、基金宣传推介材料中登载基金业绩表现数据等进行监督和核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如果基金管理人未经基金托管人的审核擅自将不实的业绩表现数据印制在宣传推介材料上，则基金托管人对此不承担任何责任，并将在发现后立即报告中国证监会。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（十）基金托管人发现基金管理人有重大违规行为，应及时报告中国证监会，</w:t>
      </w:r>
      <w:r>
        <w:rPr>
          <w:rFonts w:ascii="宋体" w:hAnsi="宋体"/>
          <w:sz w:val="24"/>
        </w:rPr>
        <w:lastRenderedPageBreak/>
        <w:t>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对基金托管人履行托管职责情况进行核查，核查事项包括基金托管人安全保管基金财产、开设基金财产的资金账户和证券账户等投资所需账户、复核基金管理人计算的基金资产净值、基金份额净值和基金份额累计净值、根据基金管理人指令办理清算交收、相关信息披露和监督基金投资运作等行为。</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（一）基金财产保管的原则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2、基金托管人应安全保管基金财产。未经基金管理人依据合法程序作出的合法合规指令，基金托管人不得自行运用、处分、分配基金的任何财产。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3、基金托管人按照规定开设基金财产的资金账户、证券账户等投资所需账户。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4、基金托管人对所托管的不同基金财产分别设置账户，独立核算，确保基金财产的完整与独立。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（二）基金募集期间及募集资金的验资</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1、基金募集期间的资金应存于基金管理人在具有托管资格的商业银行开设的基金认购专户。该账户由基金管理人开立并管理。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发起资金的认购金额、发起资金提供方及其承诺的持有期限符合《基金法》、《运作办法》等有关规定后，基金管理人应将属于基金财产的全部资金划入基金托管人开立的基金托管资金账户，同时在规定时间内，聘请符合《中华人民共和国证券法》规定的会计师事务所进行验资，出具验资报告，验资报告需对发起资金的持有人及其持有份额进行专门说明。出具的验资报告由参加验资的2名或2名以上中国注册会计师签字方为有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3、若基金募集期限届满，未能达到基金合同生效的条件，由基金管理人按规定办理退款等事宜，基金托管人应提供充分协助。</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（三）基金资金账户的开立和管理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1、基金托管人应负责本基金的资金账户的开设和管理。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3、基金托管资金账户的开立和使用，限于满足开展本基金业务的需要。基金托管人和基金管理人不得假借本基金的名义开立任何其他银行账户；亦不得使用基金的任何账户进行本基金业务以外的活动。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4、基金托管资金账户的开立和管理应符合相关法律法规的有关规定。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5、在符合法律法规规定的条件下，基金托管人可以通过基金托管人专用账户办理基金资产的支付。</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（四）基金证券账户的开立和管理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1、基金托管人在中国证券登记结算有限责任公司上海分公司、深圳分公司为基金开立基金托管人与基金联名的证券账户。</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4、基金证券账户的开立和证券账户卡的保管由基金托管人负责，账户资产的管理和运用由基金管理人负责。</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（五）债券托管专户的开设和管理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公司、银行间市场清算所股份有限公司的有关规定，以本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（六）其他账户的开立和管理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1、因业务发展需要而开立的其他账户，可以根据法律法规和基金合同的规定，在基金管理人和基金托管人商议后开立。新账户按有关规则使用并管理。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（七）基金财产投资的有关有价凭证等的保管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（八）与基金财产有关的重大合同的保管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法律法规或监管部门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对于无法取得二份以上的正本的，基金管理人应向基金托管人提供加盖授权业务章的合同传真件或复印件，未经双方协商一致，合同原件不得转移。</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五、基金资产净值的计算及复核程序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（一）基金资产净值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基金资产净值是指基金资产总值减去负债后的净资产值。</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基金份额净值是指基金资产净值除以基金份额总数后得到的基金份额的资产净值。基金份额净值的计算，精确到0.0001元，小数点后第5位四舍五入，由此产生的误差计入基金财产。国家另有规定的，从其规定。</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基金管理人每个估值日计算基金资产净值及基金份额净值，经基金托管人复核，并按规定公告。如遇特殊情况，经中国证监会同意，可以适当延迟计算或公告。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（二）复核程序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个估值日对基金资产进行估值后，将基金估值结果发送基金托管人，经基金托管人复核无误后，由基金管理人依据基金合同和相关法律法规的规定对外公布。但基金管理人根据法律法规或基金合同的规定暂停估值时除外。</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六、基金份额持有人名册的登记与保管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w:t>
      </w:r>
      <w:r>
        <w:rPr>
          <w:rFonts w:ascii="宋体" w:hAnsi="宋体"/>
          <w:sz w:val="24"/>
        </w:rPr>
        <w:lastRenderedPageBreak/>
        <w:t>内容至少应包括持有人的名称和持有的基金份额。</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本协议适用中华人民共和国法律（为本协议之目的，不包括香港特别行政区、澳门特别行政区和台湾地区法律）并从其解释。</w:t>
      </w:r>
    </w:p>
    <w:p w:rsidR="00BE2C03" w:rsidRDefault="0016013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八、基金托管协议的变更、终止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（一）托管协议的变更程序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本协议双方当事人经协商一致，可以对协议进行修改。修改后的新协议，其内容不得与基金合同的规定有任何冲突。基金托管协议的变更报中国证监会备案。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（二）基金托管协议终止的情形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3、基金管理人解散、依法被撤销、破产或由其他基金管理人接管基金管理权；</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4、发生法律法规、中国证监会或基金合同规定的终止事项。</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5" w:name="_Toc139637454"/>
      <w:r>
        <w:rPr>
          <w:rFonts w:ascii="宋体" w:hAnsi="宋体"/>
          <w:sz w:val="30"/>
        </w:rPr>
        <w:lastRenderedPageBreak/>
        <w:t>二十二、对基金份额持有人的服务</w:t>
      </w:r>
      <w:bookmarkEnd w:id="25"/>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基金管理人承诺为基金份额持有人提供一系列的服务，并将根据基金份额持有人的需要和市场的变化增加、修订这些服务项目。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主要服务内容如下：</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（一）资料寄送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1.基金投资人对账单</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子对账单服务采取定制方式，未定制此服务的投资人可通过公司官网、客服热线、官方微信公众号等途径自助查询账户情况。电子对账单按月度、季度和年度提供，包括微信、电子邮件等电子方式，基金份额持有人可根据需要自行选择。电子对账单会在当期结束后，5个工作日内发送。微信未绑定账户、取消关注、电子邮件地址不详的除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投资者提供的电子邮箱不详、错误、未及时变更或通讯故障、延误、微信未绑定账户、取消关注等原因有可能造成对账单无法按时或准确送达。因上述原因无法正常收取对账单的投资者，敬请及时通过本基金管理人网站，或拨打客服热线查询、核对、变更您的预留联系方式。</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（3）如需纸质对账单，敬请拨打客服热线获取。</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2.其他相关的信息资料</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（二）咨询、查询服务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1.信息查询密码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基金查询密码用于投资人查询基金账户下的账户和交易信息。投资人请在知晓基金账号后，及时登录公司网站www.yhfund.com.cn修改基金查询密码，为充分保障投资人信息安全，新密码应为6-18位数字加字母组合。</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2.信息咨询、查询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投资人如果想了解认购、申购和赎回等交易情况、基金账户余额、基金产品与服务等信息，请拨打基金管理人客户服务中心电话或登录公司网站进行咨询、查询。</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客户服务中心：400-678-3333、010-85186558</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公司网址：www.yhfund.com.cn</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（三）在线服务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基金管理人利用自己的线上平台定期或不定期为基金投资人提供投资资讯及基金经理（或投资顾问）交流服务。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（四）电子交易与服务</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投资人可通过基金管理人的线上交易系统进行基金交易，详情请查看公司网站或相关公告。</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（五）如本招募说明书存在任何您/贵机构无法理解的内容，请通过上述方式联系基金管理人。请确保投资前，您/贵机构已经全面理解了本招募说明书。</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6" w:name="_Toc139637455"/>
      <w:r>
        <w:rPr>
          <w:rFonts w:ascii="宋体" w:hAnsi="宋体"/>
          <w:sz w:val="30"/>
        </w:rPr>
        <w:lastRenderedPageBreak/>
        <w:t>二十三、其他应披露事项</w:t>
      </w:r>
      <w:bookmarkEnd w:id="26"/>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7" w:name="_Toc139637456"/>
      <w:r>
        <w:rPr>
          <w:rFonts w:ascii="宋体" w:hAnsi="宋体"/>
          <w:sz w:val="30"/>
        </w:rPr>
        <w:lastRenderedPageBreak/>
        <w:t>二十四、招募说明书的存放及查阅方式</w:t>
      </w:r>
      <w:bookmarkEnd w:id="27"/>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招募说明书公布后，应当分别存放在基金管理人、基金托管人和基金销售机构的住所，投资人可在办公时间免费查阅。在支付工本费后，可在合理时间内取得上述文件的复制件或复印件，但应以本基金招募说明书的正本为准。</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投资人还可以直接登录基金管理人的网站（www.yhfund.com.cn）查阅和下载招募说明书。</w:t>
      </w:r>
    </w:p>
    <w:p w:rsidR="00B439CC" w:rsidRDefault="0016013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E2C03" w:rsidRDefault="00160133">
      <w:pPr>
        <w:pStyle w:val="1"/>
        <w:snapToGrid w:val="0"/>
        <w:spacing w:beforeLines="0" w:before="240" w:after="240"/>
        <w:rPr>
          <w:rFonts w:ascii="宋体" w:hAnsi="宋体"/>
          <w:szCs w:val="30"/>
        </w:rPr>
      </w:pPr>
      <w:bookmarkStart w:id="28" w:name="_Toc139637457"/>
      <w:r>
        <w:rPr>
          <w:rFonts w:ascii="宋体" w:hAnsi="宋体"/>
          <w:sz w:val="30"/>
        </w:rPr>
        <w:lastRenderedPageBreak/>
        <w:t>二十五、备查文件</w:t>
      </w:r>
      <w:bookmarkEnd w:id="28"/>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1.中国证监会准予银华裕利混合型发起式证券投资基金募集注册的文件；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2.《银华裕利混合型发起式证券投资基金基金合同》；</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3.《银华裕利混合型发起式证券投资基金托管协议》；</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4.关于申请募集银华裕利混合型发起式证券投资基金之法律意见；</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5.基金管理人业务资格批件和营业执照；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6.基金托管人业务资格批件和营业执照；</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7.中国证监会要求的其他文件。</w:t>
      </w:r>
    </w:p>
    <w:p w:rsidR="00BE2C03" w:rsidRDefault="0016013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基金托管人业务资格批件和营业执照存放在基金托管人处；基金合同、托管协议及其余备查文件存放在基金管理人处。投资人可在营业时间免费到存放地点查阅，也可按工本费购买复印件。</w:t>
      </w:r>
    </w:p>
    <w:sectPr w:rsidR="00BE2C03">
      <w:footerReference w:type="default" r:id="rId12"/>
      <w:pgSz w:w="11920" w:h="16840"/>
      <w:pgMar w:top="1360" w:right="1580" w:bottom="2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6C" w:rsidRDefault="0016166C">
      <w:r>
        <w:separator/>
      </w:r>
    </w:p>
  </w:endnote>
  <w:endnote w:type="continuationSeparator" w:id="0">
    <w:p w:rsidR="0016166C" w:rsidRDefault="0016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Arial Unicode MS"/>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03" w:rsidRDefault="000143D5">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C03" w:rsidRDefault="0016013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A41525">
                            <w:rPr>
                              <w:rFonts w:ascii="Times New Roman" w:hAnsi="Times New Roman"/>
                              <w:noProof/>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rsidR="00BE2C03" w:rsidRDefault="0016013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A41525">
                      <w:rPr>
                        <w:rFonts w:ascii="Times New Roman" w:hAnsi="Times New Roman"/>
                        <w:noProof/>
                        <w:kern w:val="0"/>
                        <w:sz w:val="18"/>
                        <w:szCs w:val="18"/>
                      </w:rPr>
                      <w:t>4</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03" w:rsidRDefault="000143D5">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C03" w:rsidRDefault="0016013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A41525">
                            <w:rPr>
                              <w:rFonts w:ascii="Times New Roman" w:hAnsi="Times New Roman"/>
                              <w:noProof/>
                              <w:kern w:val="0"/>
                              <w:sz w:val="18"/>
                              <w:szCs w:val="18"/>
                            </w:rPr>
                            <w:t>77</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rsidR="00BE2C03" w:rsidRDefault="0016013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A41525">
                      <w:rPr>
                        <w:rFonts w:ascii="Times New Roman" w:hAnsi="Times New Roman"/>
                        <w:noProof/>
                        <w:kern w:val="0"/>
                        <w:sz w:val="18"/>
                        <w:szCs w:val="18"/>
                      </w:rPr>
                      <w:t>77</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6C" w:rsidRDefault="0016166C">
      <w:r>
        <w:separator/>
      </w:r>
    </w:p>
  </w:footnote>
  <w:footnote w:type="continuationSeparator" w:id="0">
    <w:p w:rsidR="0016166C" w:rsidRDefault="00161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03" w:rsidRDefault="00BE2C03">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03" w:rsidRDefault="00BE2C03">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03" w:rsidRDefault="00BE2C03">
    <w:pPr>
      <w:pStyle w:val="a8"/>
      <w:jc w:val="right"/>
    </w:pPr>
  </w:p>
  <w:p w:rsidR="00BE2C03" w:rsidRDefault="00BE2C03">
    <w:pPr>
      <w:pStyle w:val="a8"/>
      <w:jc w:val="right"/>
    </w:pPr>
  </w:p>
  <w:p w:rsidR="00BE2C03" w:rsidRDefault="00BE2C03">
    <w:pPr>
      <w:pStyle w:val="a8"/>
      <w:jc w:val="right"/>
    </w:pPr>
  </w:p>
  <w:p w:rsidR="00BE2C03" w:rsidRDefault="00BE2C03">
    <w:pPr>
      <w:pStyle w:val="a8"/>
      <w:jc w:val="right"/>
    </w:pPr>
  </w:p>
  <w:p w:rsidR="00BE2C03" w:rsidRDefault="00160133">
    <w:pPr>
      <w:pStyle w:val="a8"/>
      <w:jc w:val="right"/>
      <w:rPr>
        <w:rFonts w:ascii="宋体" w:hAnsi="宋体"/>
      </w:rPr>
    </w:pPr>
    <w:r>
      <w:rPr>
        <w:rFonts w:ascii="宋体" w:hAnsi="宋体" w:hint="eastAsia"/>
      </w:rPr>
      <w:t>银华裕利混合型发起式证券投资基金招募说明书更新(2023年第</w:t>
    </w:r>
    <w:r w:rsidR="000143D5">
      <w:rPr>
        <w:rFonts w:ascii="宋体" w:hAnsi="宋体" w:hint="eastAsia"/>
      </w:rPr>
      <w:t>2</w:t>
    </w:r>
    <w:r>
      <w:rPr>
        <w:rFonts w:ascii="宋体" w:hAnsi="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143D5"/>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08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0133"/>
    <w:rsid w:val="0016166C"/>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3F94"/>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1525"/>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2C03"/>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2A33"/>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11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6B0487-5688-4BA8-B0FC-D0CB719D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nhideWhenUsed/>
    <w:pPr>
      <w:jc w:val="left"/>
    </w:pPr>
  </w:style>
  <w:style w:type="paragraph" w:styleId="a5">
    <w:name w:val="Document Map"/>
    <w:basedOn w:val="a"/>
    <w:link w:val="Char1"/>
    <w:uiPriority w:val="99"/>
    <w:unhideWhenUsed/>
    <w:rPr>
      <w:rFonts w:ascii="宋体"/>
      <w:sz w:val="18"/>
      <w:szCs w:val="18"/>
    </w:rPr>
  </w:style>
  <w:style w:type="paragraph" w:styleId="a6">
    <w:name w:val="Balloon Text"/>
    <w:basedOn w:val="a"/>
    <w:semiHidden/>
    <w:rPr>
      <w:sz w:val="18"/>
      <w:szCs w:val="18"/>
    </w:rPr>
  </w:style>
  <w:style w:type="paragraph" w:styleId="a7">
    <w:name w:val="footer"/>
    <w:basedOn w:val="a"/>
    <w:link w:val="Char2"/>
    <w:uiPriority w:val="99"/>
    <w:unhideWhenUsed/>
    <w:pPr>
      <w:tabs>
        <w:tab w:val="center" w:pos="4153"/>
        <w:tab w:val="right" w:pos="8306"/>
      </w:tabs>
      <w:snapToGrid w:val="0"/>
      <w:jc w:val="left"/>
    </w:pPr>
    <w:rPr>
      <w:kern w:val="0"/>
      <w:sz w:val="18"/>
      <w:szCs w:val="18"/>
    </w:rPr>
  </w:style>
  <w:style w:type="paragraph" w:styleId="a8">
    <w:name w:val="header"/>
    <w:link w:val="Char3"/>
    <w:uiPriority w:val="99"/>
    <w:unhideWhenUsed/>
    <w:rsid w:val="005D30BA"/>
    <w:pPr>
      <w:pBdr>
        <w:bottom w:val="single" w:sz="6" w:space="1" w:color="auto"/>
      </w:pBdr>
      <w:tabs>
        <w:tab w:val="center" w:pos="4153"/>
        <w:tab w:val="right" w:pos="8306"/>
      </w:tabs>
      <w:snapToGrid w:val="0"/>
    </w:pPr>
    <w:rPr>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nhideWhenUsed/>
    <w:rPr>
      <w:sz w:val="21"/>
      <w:szCs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0">
    <w:name w:val="批注文字 Char"/>
    <w:link w:val="a4"/>
    <w:rPr>
      <w:kern w:val="2"/>
      <w:sz w:val="21"/>
      <w:szCs w:val="22"/>
    </w:rPr>
  </w:style>
  <w:style w:type="character" w:customStyle="1" w:styleId="Char">
    <w:name w:val="批注主题 Char"/>
    <w:link w:val="a3"/>
    <w:uiPriority w:val="99"/>
    <w:semiHidden/>
    <w:rPr>
      <w:b/>
      <w:bCs/>
      <w:kern w:val="2"/>
      <w:sz w:val="21"/>
      <w:szCs w:val="22"/>
    </w:rPr>
  </w:style>
  <w:style w:type="character" w:customStyle="1" w:styleId="Char3">
    <w:name w:val="页眉 Char"/>
    <w:link w:val="a8"/>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1">
    <w:name w:val="文档结构图 Char"/>
    <w:link w:val="a5"/>
    <w:uiPriority w:val="99"/>
    <w:semiHidden/>
    <w:rPr>
      <w:rFonts w:ascii="宋体"/>
      <w:kern w:val="2"/>
      <w:sz w:val="18"/>
      <w:szCs w:val="18"/>
    </w:rPr>
  </w:style>
  <w:style w:type="character" w:customStyle="1" w:styleId="Char2">
    <w:name w:val="页脚 Char"/>
    <w:link w:val="a7"/>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15291</Words>
  <Characters>87165</Characters>
  <Application>Microsoft Office Word</Application>
  <DocSecurity>0</DocSecurity>
  <Lines>726</Lines>
  <Paragraphs>204</Paragraphs>
  <ScaleCrop>false</ScaleCrop>
  <Company>Microsoft</Company>
  <LinksUpToDate>false</LinksUpToDate>
  <CharactersWithSpaces>102252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邱莉</cp:lastModifiedBy>
  <cp:revision>2</cp:revision>
  <cp:lastPrinted>2013-02-18T03:10:00Z</cp:lastPrinted>
  <dcterms:created xsi:type="dcterms:W3CDTF">2023-07-10T11:55:00Z</dcterms:created>
  <dcterms:modified xsi:type="dcterms:W3CDTF">2023-07-10T11:55:00Z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