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18" w:rsidRPr="00335FE8" w:rsidRDefault="00880454" w:rsidP="006A53E7">
      <w:pPr>
        <w:spacing w:line="420" w:lineRule="exact"/>
        <w:jc w:val="center"/>
        <w:rPr>
          <w:rFonts w:ascii="宋体" w:hAnsi="宋体" w:cs="Consolas"/>
          <w:b/>
          <w:iCs/>
          <w:kern w:val="0"/>
          <w:sz w:val="36"/>
          <w:szCs w:val="36"/>
        </w:rPr>
      </w:pPr>
      <w:bookmarkStart w:id="0" w:name="_GoBack"/>
      <w:bookmarkEnd w:id="0"/>
      <w:r>
        <w:rPr>
          <w:rFonts w:ascii="宋体" w:hAnsi="宋体" w:cs="Consolas" w:hint="eastAsia"/>
          <w:b/>
          <w:iCs/>
          <w:kern w:val="0"/>
          <w:sz w:val="36"/>
          <w:szCs w:val="36"/>
        </w:rPr>
        <w:t>银华巨潮小盘价值交易型开放式指数证券投资基金发起式联接基金基金产品资料概要更新</w:t>
      </w:r>
    </w:p>
    <w:p w:rsidR="00880454" w:rsidRPr="00335FE8" w:rsidRDefault="00880454" w:rsidP="00880454">
      <w:pPr>
        <w:jc w:val="right"/>
        <w:rPr>
          <w:rFonts w:ascii="仿宋_GB2312" w:eastAsia="仿宋_GB2312" w:hAnsi="宋体" w:cs="宋体"/>
          <w:kern w:val="0"/>
          <w:szCs w:val="24"/>
        </w:rPr>
      </w:pPr>
      <w:r w:rsidRPr="00335FE8">
        <w:rPr>
          <w:rFonts w:ascii="方正仿宋简体" w:eastAsia="方正仿宋简体" w:hAnsi="方正仿宋简体" w:cs="方正仿宋简体" w:hint="eastAsia"/>
        </w:rPr>
        <w:t>编制日期：</w:t>
      </w:r>
      <w:r w:rsidR="006A53E7" w:rsidRPr="00335FE8">
        <w:rPr>
          <w:rFonts w:ascii="Times New Roman" w:eastAsia="Times New Roman" w:hAnsi="Times New Roman" w:cs="Times New Roman" w:hint="eastAsia"/>
          <w:kern w:val="0"/>
          <w:szCs w:val="24"/>
        </w:rPr>
        <w:t>2023-12-06</w:t>
      </w:r>
    </w:p>
    <w:p w:rsidR="00264C81" w:rsidRDefault="00DD1420" w:rsidP="00264C81">
      <w:pPr>
        <w:spacing w:line="380" w:lineRule="exact"/>
        <w:jc w:val="center"/>
        <w:rPr>
          <w:rFonts w:ascii="方正仿宋简体" w:hAnsi="方正仿宋简体" w:cs="方正仿宋简体"/>
          <w:b/>
          <w:iCs/>
          <w:szCs w:val="24"/>
        </w:rPr>
      </w:pPr>
      <w:r>
        <w:rPr>
          <w:rFonts w:ascii="方正仿宋简体" w:eastAsia="方正仿宋简体" w:hAnsi="方正仿宋简体" w:cs="方正仿宋简体" w:hint="eastAsia"/>
        </w:rPr>
        <w:t>送出日期：</w:t>
      </w:r>
      <w:r>
        <w:rPr>
          <w:rFonts w:ascii="Times New Roman" w:eastAsia="Times New Roman" w:hAnsi="Times New Roman" w:cs="Times New Roman" w:hint="eastAsia"/>
          <w:kern w:val="0"/>
          <w:szCs w:val="24"/>
        </w:rPr>
        <w:t>2024-01-05</w:t>
      </w:r>
      <w:r>
        <w:rPr>
          <w:rFonts w:ascii="方正仿宋简体" w:hAnsi="方正仿宋简体" w:cs="方正仿宋简体" w:hint="eastAsia"/>
          <w:b/>
          <w:iCs/>
          <w:szCs w:val="24"/>
        </w:rPr>
        <w:t xml:space="preserve"> </w:t>
      </w:r>
    </w:p>
    <w:p w:rsidR="00FB01B3" w:rsidRPr="00943B76" w:rsidRDefault="00DD1420" w:rsidP="0012633B">
      <w:pPr>
        <w:autoSpaceDE w:val="0"/>
        <w:autoSpaceDN w:val="0"/>
        <w:adjustRightInd w:val="0"/>
        <w:jc w:val="center"/>
        <w:rPr>
          <w:rFonts w:ascii="Consolas" w:hAnsi="Consolas" w:cs="Consolas" w:hint="eastAsia"/>
          <w:iCs/>
          <w:kern w:val="0"/>
          <w:sz w:val="21"/>
          <w:szCs w:val="21"/>
        </w:rPr>
      </w:pPr>
      <w:r w:rsidRPr="00943B76">
        <w:rPr>
          <w:rFonts w:ascii="Consolas" w:hAnsi="Consolas" w:cs="Consolas" w:hint="eastAsia"/>
          <w:iCs/>
          <w:kern w:val="0"/>
          <w:sz w:val="21"/>
          <w:szCs w:val="21"/>
        </w:rPr>
        <w:t>本概要提供本基金的重要信息，是招募说明书的一部分。</w:t>
      </w:r>
    </w:p>
    <w:p w:rsidR="00FB01B3" w:rsidRPr="00902991" w:rsidRDefault="00DD1420" w:rsidP="0012633B">
      <w:pPr>
        <w:autoSpaceDE w:val="0"/>
        <w:autoSpaceDN w:val="0"/>
        <w:adjustRightInd w:val="0"/>
        <w:jc w:val="center"/>
        <w:rPr>
          <w:rFonts w:ascii="Consolas" w:hAnsi="Consolas" w:cs="Consolas" w:hint="eastAsia"/>
          <w:iCs/>
          <w:kern w:val="0"/>
          <w:szCs w:val="24"/>
        </w:rPr>
      </w:pPr>
      <w:r w:rsidRPr="00943B76">
        <w:rPr>
          <w:rFonts w:ascii="Consolas" w:hAnsi="Consolas" w:cs="Consolas" w:hint="eastAsia"/>
          <w:iCs/>
          <w:kern w:val="0"/>
          <w:sz w:val="21"/>
          <w:szCs w:val="21"/>
        </w:rPr>
        <w:t>作出投资决定前，请阅读完整的招募说明书等销售文件。</w:t>
      </w:r>
    </w:p>
    <w:p w:rsidR="006510B5" w:rsidRPr="001F03B7" w:rsidRDefault="00DD1420" w:rsidP="0003056B">
      <w:pPr>
        <w:rPr>
          <w:rFonts w:ascii="宋体" w:hAnsi="宋体"/>
        </w:rPr>
      </w:pPr>
      <w:r w:rsidRPr="001F03B7">
        <w:rPr>
          <w:rFonts w:ascii="宋体" w:hAnsi="宋体" w:cs="宋体" w:hint="eastAsia"/>
          <w:b/>
          <w:iCs/>
          <w:sz w:val="21"/>
          <w:szCs w:val="21"/>
        </w:rPr>
        <w:t>一、产品概况</w:t>
      </w:r>
    </w:p>
    <w:tbl>
      <w:tblPr>
        <w:tblW w:w="90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2551"/>
        <w:gridCol w:w="1789"/>
        <w:gridCol w:w="2738"/>
      </w:tblGrid>
      <w:tr w:rsidR="00487162" w:rsidRPr="00943B76" w:rsidTr="0012633B">
        <w:tc>
          <w:tcPr>
            <w:tcW w:w="1985" w:type="dxa"/>
          </w:tcPr>
          <w:p w:rsidR="00487162" w:rsidRPr="006E345A" w:rsidRDefault="00DD1420"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基金简称</w:t>
            </w:r>
          </w:p>
        </w:tc>
        <w:tc>
          <w:tcPr>
            <w:tcW w:w="3260" w:type="dxa"/>
          </w:tcPr>
          <w:p w:rsidR="00487162" w:rsidRPr="006E345A" w:rsidRDefault="00DD1420" w:rsidP="0012633B">
            <w:pPr>
              <w:autoSpaceDE w:val="0"/>
              <w:autoSpaceDN w:val="0"/>
              <w:adjustRightInd w:val="0"/>
              <w:rPr>
                <w:rFonts w:ascii="宋体" w:hAnsi="宋体" w:cs="Consolas"/>
                <w:iCs/>
                <w:kern w:val="0"/>
                <w:sz w:val="21"/>
                <w:szCs w:val="21"/>
              </w:rPr>
            </w:pPr>
            <w:r>
              <w:rPr>
                <w:rFonts w:ascii="宋体" w:hAnsi="宋体" w:hint="eastAsia"/>
                <w:sz w:val="21"/>
                <w:szCs w:val="21"/>
              </w:rPr>
              <w:t>银华巨潮小盘价值</w:t>
            </w:r>
            <w:r>
              <w:rPr>
                <w:rFonts w:ascii="宋体" w:hAnsi="宋体" w:hint="eastAsia"/>
                <w:sz w:val="21"/>
                <w:szCs w:val="21"/>
              </w:rPr>
              <w:t>ETF</w:t>
            </w:r>
            <w:r>
              <w:rPr>
                <w:rFonts w:ascii="宋体" w:hAnsi="宋体" w:hint="eastAsia"/>
                <w:sz w:val="21"/>
                <w:szCs w:val="21"/>
              </w:rPr>
              <w:t>发起式联接</w:t>
            </w:r>
          </w:p>
        </w:tc>
        <w:tc>
          <w:tcPr>
            <w:tcW w:w="2268" w:type="dxa"/>
          </w:tcPr>
          <w:p w:rsidR="00487162" w:rsidRPr="006E345A" w:rsidRDefault="00DD1420"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基金代码</w:t>
            </w:r>
          </w:p>
        </w:tc>
        <w:tc>
          <w:tcPr>
            <w:tcW w:w="3402" w:type="dxa"/>
          </w:tcPr>
          <w:p w:rsidR="00487162" w:rsidRPr="006E345A" w:rsidRDefault="00DD1420" w:rsidP="0012633B">
            <w:pPr>
              <w:autoSpaceDE w:val="0"/>
              <w:autoSpaceDN w:val="0"/>
              <w:adjustRightInd w:val="0"/>
              <w:rPr>
                <w:rFonts w:ascii="宋体" w:hAnsi="宋体"/>
                <w:sz w:val="21"/>
                <w:szCs w:val="21"/>
              </w:rPr>
            </w:pPr>
            <w:r>
              <w:rPr>
                <w:rFonts w:ascii="宋体" w:hAnsi="宋体"/>
                <w:sz w:val="21"/>
                <w:szCs w:val="21"/>
              </w:rPr>
              <w:t>010561</w:t>
            </w:r>
          </w:p>
        </w:tc>
      </w:tr>
      <w:tr w:rsidR="00487162" w:rsidRPr="00943B76" w:rsidTr="0012633B">
        <w:tc>
          <w:tcPr>
            <w:tcW w:w="1985" w:type="dxa"/>
          </w:tcPr>
          <w:p w:rsidR="00487162" w:rsidRPr="006E345A" w:rsidRDefault="00DD1420"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下属基金简称</w:t>
            </w:r>
          </w:p>
        </w:tc>
        <w:tc>
          <w:tcPr>
            <w:tcW w:w="3260" w:type="dxa"/>
          </w:tcPr>
          <w:p w:rsidR="00487162" w:rsidRPr="006E345A" w:rsidRDefault="00DD1420" w:rsidP="0012633B">
            <w:pPr>
              <w:autoSpaceDE w:val="0"/>
              <w:autoSpaceDN w:val="0"/>
              <w:adjustRightInd w:val="0"/>
              <w:rPr>
                <w:rFonts w:ascii="宋体" w:hAnsi="宋体" w:cs="Consolas"/>
                <w:iCs/>
                <w:kern w:val="0"/>
                <w:sz w:val="21"/>
                <w:szCs w:val="21"/>
              </w:rPr>
            </w:pPr>
            <w:r>
              <w:rPr>
                <w:rFonts w:ascii="宋体" w:hAnsi="宋体" w:hint="eastAsia"/>
                <w:sz w:val="21"/>
                <w:szCs w:val="21"/>
              </w:rPr>
              <w:t>银华巨潮小盘价值</w:t>
            </w:r>
            <w:r>
              <w:rPr>
                <w:rFonts w:ascii="宋体" w:hAnsi="宋体" w:hint="eastAsia"/>
                <w:sz w:val="21"/>
                <w:szCs w:val="21"/>
              </w:rPr>
              <w:t>ETF</w:t>
            </w:r>
            <w:r>
              <w:rPr>
                <w:rFonts w:ascii="宋体" w:hAnsi="宋体" w:hint="eastAsia"/>
                <w:sz w:val="21"/>
                <w:szCs w:val="21"/>
              </w:rPr>
              <w:t>发起式联接</w:t>
            </w:r>
            <w:r>
              <w:rPr>
                <w:rFonts w:ascii="宋体" w:hAnsi="宋体" w:hint="eastAsia"/>
                <w:sz w:val="21"/>
                <w:szCs w:val="21"/>
              </w:rPr>
              <w:t>A</w:t>
            </w:r>
          </w:p>
        </w:tc>
        <w:tc>
          <w:tcPr>
            <w:tcW w:w="2268" w:type="dxa"/>
          </w:tcPr>
          <w:p w:rsidR="00487162" w:rsidRPr="006E345A" w:rsidRDefault="00DD1420"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下属基金代码</w:t>
            </w:r>
          </w:p>
        </w:tc>
        <w:tc>
          <w:tcPr>
            <w:tcW w:w="3402" w:type="dxa"/>
          </w:tcPr>
          <w:p w:rsidR="00487162" w:rsidRPr="006E345A" w:rsidRDefault="00DD1420" w:rsidP="0012633B">
            <w:pPr>
              <w:autoSpaceDE w:val="0"/>
              <w:autoSpaceDN w:val="0"/>
              <w:adjustRightInd w:val="0"/>
              <w:rPr>
                <w:rFonts w:ascii="宋体" w:hAnsi="宋体"/>
                <w:sz w:val="21"/>
                <w:szCs w:val="21"/>
              </w:rPr>
            </w:pPr>
            <w:r>
              <w:rPr>
                <w:rFonts w:ascii="宋体" w:hAnsi="宋体"/>
                <w:sz w:val="21"/>
                <w:szCs w:val="21"/>
              </w:rPr>
              <w:t>010561</w:t>
            </w:r>
          </w:p>
        </w:tc>
      </w:tr>
      <w:tr w:rsidR="00487162" w:rsidRPr="00943B76" w:rsidTr="0012633B">
        <w:tc>
          <w:tcPr>
            <w:tcW w:w="1985" w:type="dxa"/>
          </w:tcPr>
          <w:p w:rsidR="00487162" w:rsidRPr="006E345A" w:rsidRDefault="00DD1420"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下属基金简称</w:t>
            </w:r>
          </w:p>
        </w:tc>
        <w:tc>
          <w:tcPr>
            <w:tcW w:w="3260" w:type="dxa"/>
          </w:tcPr>
          <w:p w:rsidR="00487162" w:rsidRPr="006E345A" w:rsidRDefault="00DD1420" w:rsidP="0012633B">
            <w:pPr>
              <w:autoSpaceDE w:val="0"/>
              <w:autoSpaceDN w:val="0"/>
              <w:adjustRightInd w:val="0"/>
              <w:rPr>
                <w:rFonts w:ascii="宋体" w:hAnsi="宋体" w:cs="Consolas"/>
                <w:iCs/>
                <w:kern w:val="0"/>
                <w:sz w:val="21"/>
                <w:szCs w:val="21"/>
              </w:rPr>
            </w:pPr>
            <w:r>
              <w:rPr>
                <w:rFonts w:ascii="宋体" w:hAnsi="宋体" w:hint="eastAsia"/>
                <w:sz w:val="21"/>
                <w:szCs w:val="21"/>
              </w:rPr>
              <w:t>银华巨潮小盘价值</w:t>
            </w:r>
            <w:r>
              <w:rPr>
                <w:rFonts w:ascii="宋体" w:hAnsi="宋体" w:hint="eastAsia"/>
                <w:sz w:val="21"/>
                <w:szCs w:val="21"/>
              </w:rPr>
              <w:t>ETF</w:t>
            </w:r>
            <w:r>
              <w:rPr>
                <w:rFonts w:ascii="宋体" w:hAnsi="宋体" w:hint="eastAsia"/>
                <w:sz w:val="21"/>
                <w:szCs w:val="21"/>
              </w:rPr>
              <w:t>发起式联接</w:t>
            </w:r>
            <w:r>
              <w:rPr>
                <w:rFonts w:ascii="宋体" w:hAnsi="宋体" w:hint="eastAsia"/>
                <w:sz w:val="21"/>
                <w:szCs w:val="21"/>
              </w:rPr>
              <w:t>C</w:t>
            </w:r>
          </w:p>
        </w:tc>
        <w:tc>
          <w:tcPr>
            <w:tcW w:w="2268" w:type="dxa"/>
          </w:tcPr>
          <w:p w:rsidR="00487162" w:rsidRPr="006E345A" w:rsidRDefault="00DD1420"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下属基金代码</w:t>
            </w:r>
          </w:p>
        </w:tc>
        <w:tc>
          <w:tcPr>
            <w:tcW w:w="3402" w:type="dxa"/>
          </w:tcPr>
          <w:p w:rsidR="00487162" w:rsidRPr="006E345A" w:rsidRDefault="00DD1420" w:rsidP="0012633B">
            <w:pPr>
              <w:autoSpaceDE w:val="0"/>
              <w:autoSpaceDN w:val="0"/>
              <w:adjustRightInd w:val="0"/>
              <w:rPr>
                <w:rFonts w:ascii="宋体" w:hAnsi="宋体"/>
                <w:sz w:val="21"/>
                <w:szCs w:val="21"/>
              </w:rPr>
            </w:pPr>
            <w:r>
              <w:rPr>
                <w:rFonts w:ascii="宋体" w:hAnsi="宋体"/>
                <w:sz w:val="21"/>
                <w:szCs w:val="21"/>
              </w:rPr>
              <w:t>016437</w:t>
            </w:r>
          </w:p>
        </w:tc>
      </w:tr>
      <w:tr w:rsidR="00DA7475" w:rsidRPr="00943B76" w:rsidTr="0012633B">
        <w:tc>
          <w:tcPr>
            <w:tcW w:w="1985" w:type="dxa"/>
          </w:tcPr>
          <w:p w:rsidR="00DA7475"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基金管理人</w:t>
            </w:r>
          </w:p>
        </w:tc>
        <w:tc>
          <w:tcPr>
            <w:tcW w:w="3260" w:type="dxa"/>
          </w:tcPr>
          <w:p w:rsidR="00DA7475" w:rsidRPr="00943B76" w:rsidRDefault="00DD1420" w:rsidP="0012633B">
            <w:pPr>
              <w:autoSpaceDE w:val="0"/>
              <w:autoSpaceDN w:val="0"/>
              <w:adjustRightInd w:val="0"/>
              <w:rPr>
                <w:rFonts w:ascii="宋体" w:hAnsi="宋体" w:cs="Consolas"/>
                <w:iCs/>
                <w:kern w:val="0"/>
                <w:sz w:val="21"/>
                <w:szCs w:val="21"/>
              </w:rPr>
            </w:pPr>
            <w:r>
              <w:rPr>
                <w:rFonts w:ascii="宋体" w:hAnsi="宋体" w:hint="eastAsia"/>
                <w:sz w:val="21"/>
                <w:szCs w:val="21"/>
              </w:rPr>
              <w:t>银华基金管理股份有限公司</w:t>
            </w:r>
          </w:p>
        </w:tc>
        <w:tc>
          <w:tcPr>
            <w:tcW w:w="2268" w:type="dxa"/>
          </w:tcPr>
          <w:p w:rsidR="00DA7475"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基金托管人</w:t>
            </w:r>
          </w:p>
        </w:tc>
        <w:tc>
          <w:tcPr>
            <w:tcW w:w="3402" w:type="dxa"/>
          </w:tcPr>
          <w:p w:rsidR="00DA7475" w:rsidRPr="00943B76" w:rsidRDefault="00DD1420" w:rsidP="0012633B">
            <w:pPr>
              <w:autoSpaceDE w:val="0"/>
              <w:autoSpaceDN w:val="0"/>
              <w:adjustRightInd w:val="0"/>
              <w:rPr>
                <w:rFonts w:ascii="宋体" w:hAnsi="宋体"/>
                <w:sz w:val="21"/>
                <w:szCs w:val="21"/>
              </w:rPr>
            </w:pPr>
            <w:r>
              <w:rPr>
                <w:rFonts w:ascii="宋体" w:hAnsi="宋体" w:hint="eastAsia"/>
                <w:sz w:val="21"/>
                <w:szCs w:val="21"/>
              </w:rPr>
              <w:t>交通银行股份有限公司</w:t>
            </w:r>
          </w:p>
        </w:tc>
      </w:tr>
      <w:tr w:rsidR="0012633B" w:rsidRPr="00943B76" w:rsidTr="0012633B">
        <w:tc>
          <w:tcPr>
            <w:tcW w:w="1985" w:type="dxa"/>
          </w:tcPr>
          <w:p w:rsidR="0012633B"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基金合同生效日</w:t>
            </w:r>
          </w:p>
        </w:tc>
        <w:tc>
          <w:tcPr>
            <w:tcW w:w="8930" w:type="dxa"/>
            <w:gridSpan w:val="3"/>
          </w:tcPr>
          <w:p w:rsidR="0012633B" w:rsidRPr="00943B76" w:rsidRDefault="00DD1420" w:rsidP="0012633B">
            <w:pPr>
              <w:autoSpaceDE w:val="0"/>
              <w:autoSpaceDN w:val="0"/>
              <w:adjustRightInd w:val="0"/>
              <w:rPr>
                <w:rFonts w:ascii="宋体" w:hAnsi="宋体"/>
                <w:sz w:val="21"/>
                <w:szCs w:val="21"/>
              </w:rPr>
            </w:pPr>
            <w:r>
              <w:rPr>
                <w:rFonts w:ascii="宋体" w:hAnsi="宋体"/>
                <w:sz w:val="21"/>
                <w:szCs w:val="21"/>
              </w:rPr>
              <w:t>2021-02-03</w:t>
            </w:r>
          </w:p>
        </w:tc>
      </w:tr>
      <w:tr w:rsidR="00DA7475" w:rsidRPr="00943B76" w:rsidTr="0012633B">
        <w:tc>
          <w:tcPr>
            <w:tcW w:w="1985" w:type="dxa"/>
          </w:tcPr>
          <w:p w:rsidR="00DA7475"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基金类型</w:t>
            </w:r>
          </w:p>
        </w:tc>
        <w:tc>
          <w:tcPr>
            <w:tcW w:w="3260" w:type="dxa"/>
          </w:tcPr>
          <w:p w:rsidR="00DA7475" w:rsidRPr="00943B76" w:rsidRDefault="00DD1420" w:rsidP="0012633B">
            <w:pPr>
              <w:autoSpaceDE w:val="0"/>
              <w:autoSpaceDN w:val="0"/>
              <w:adjustRightInd w:val="0"/>
              <w:rPr>
                <w:rFonts w:ascii="宋体" w:hAnsi="宋体" w:cs="Consolas"/>
                <w:iCs/>
                <w:kern w:val="0"/>
                <w:sz w:val="21"/>
                <w:szCs w:val="21"/>
              </w:rPr>
            </w:pPr>
            <w:r>
              <w:rPr>
                <w:rFonts w:ascii="宋体" w:hAnsi="宋体" w:hint="eastAsia"/>
                <w:sz w:val="21"/>
                <w:szCs w:val="21"/>
              </w:rPr>
              <w:t>基金中基金</w:t>
            </w:r>
          </w:p>
        </w:tc>
        <w:tc>
          <w:tcPr>
            <w:tcW w:w="2268" w:type="dxa"/>
          </w:tcPr>
          <w:p w:rsidR="00DA7475"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交易币种</w:t>
            </w:r>
          </w:p>
        </w:tc>
        <w:tc>
          <w:tcPr>
            <w:tcW w:w="3402" w:type="dxa"/>
          </w:tcPr>
          <w:p w:rsidR="00DA7475" w:rsidRPr="00943B76" w:rsidRDefault="00DD1420" w:rsidP="0012633B">
            <w:pPr>
              <w:autoSpaceDE w:val="0"/>
              <w:autoSpaceDN w:val="0"/>
              <w:adjustRightInd w:val="0"/>
              <w:rPr>
                <w:rFonts w:ascii="宋体" w:hAnsi="宋体"/>
                <w:sz w:val="21"/>
                <w:szCs w:val="21"/>
              </w:rPr>
            </w:pPr>
            <w:r>
              <w:rPr>
                <w:rFonts w:ascii="宋体" w:hAnsi="宋体"/>
                <w:sz w:val="21"/>
                <w:szCs w:val="21"/>
              </w:rPr>
              <w:t>人民币</w:t>
            </w:r>
          </w:p>
        </w:tc>
      </w:tr>
      <w:tr w:rsidR="00DA7475" w:rsidRPr="00943B76" w:rsidTr="0012633B">
        <w:tc>
          <w:tcPr>
            <w:tcW w:w="1985" w:type="dxa"/>
          </w:tcPr>
          <w:p w:rsidR="00DA7475"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运作方式</w:t>
            </w:r>
          </w:p>
        </w:tc>
        <w:tc>
          <w:tcPr>
            <w:tcW w:w="3260" w:type="dxa"/>
          </w:tcPr>
          <w:p w:rsidR="00DA7475" w:rsidRPr="00943B76" w:rsidRDefault="00DD1420" w:rsidP="0012633B">
            <w:pPr>
              <w:autoSpaceDE w:val="0"/>
              <w:autoSpaceDN w:val="0"/>
              <w:adjustRightInd w:val="0"/>
              <w:rPr>
                <w:rFonts w:ascii="宋体" w:hAnsi="宋体" w:cs="Consolas"/>
                <w:iCs/>
                <w:kern w:val="0"/>
                <w:sz w:val="21"/>
                <w:szCs w:val="21"/>
              </w:rPr>
            </w:pPr>
            <w:r>
              <w:rPr>
                <w:rFonts w:ascii="宋体" w:hAnsi="宋体" w:hint="eastAsia"/>
                <w:sz w:val="21"/>
                <w:szCs w:val="21"/>
              </w:rPr>
              <w:t>普通开放式</w:t>
            </w:r>
          </w:p>
        </w:tc>
        <w:tc>
          <w:tcPr>
            <w:tcW w:w="2268" w:type="dxa"/>
          </w:tcPr>
          <w:p w:rsidR="00DA7475"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开放频率</w:t>
            </w:r>
          </w:p>
        </w:tc>
        <w:tc>
          <w:tcPr>
            <w:tcW w:w="3402" w:type="dxa"/>
          </w:tcPr>
          <w:p w:rsidR="00DA7475" w:rsidRPr="00943B76" w:rsidRDefault="00DD1420" w:rsidP="0012633B">
            <w:pPr>
              <w:autoSpaceDE w:val="0"/>
              <w:autoSpaceDN w:val="0"/>
              <w:adjustRightInd w:val="0"/>
              <w:rPr>
                <w:rFonts w:ascii="宋体" w:hAnsi="宋体"/>
                <w:sz w:val="21"/>
                <w:szCs w:val="21"/>
              </w:rPr>
            </w:pPr>
            <w:r>
              <w:rPr>
                <w:rFonts w:ascii="宋体" w:hAnsi="宋体" w:hint="eastAsia"/>
                <w:sz w:val="21"/>
                <w:szCs w:val="21"/>
              </w:rPr>
              <w:t>每个开放日</w:t>
            </w:r>
          </w:p>
        </w:tc>
      </w:tr>
      <w:tr w:rsidR="00DA7475" w:rsidRPr="00943B76" w:rsidTr="0012633B">
        <w:tc>
          <w:tcPr>
            <w:tcW w:w="1985" w:type="dxa"/>
          </w:tcPr>
          <w:p w:rsidR="00DA7475"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基金经理</w:t>
            </w:r>
          </w:p>
        </w:tc>
        <w:tc>
          <w:tcPr>
            <w:tcW w:w="5528" w:type="dxa"/>
            <w:gridSpan w:val="2"/>
          </w:tcPr>
          <w:p w:rsidR="00DA7475"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开始担任本基金基金经理的日期</w:t>
            </w:r>
          </w:p>
        </w:tc>
        <w:tc>
          <w:tcPr>
            <w:tcW w:w="3402" w:type="dxa"/>
          </w:tcPr>
          <w:p w:rsidR="00DA7475" w:rsidRPr="00943B76" w:rsidRDefault="00DD1420"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证券从业日期</w:t>
            </w:r>
          </w:p>
        </w:tc>
      </w:tr>
      <w:tr w:rsidR="00DA7475" w:rsidRPr="00943B76" w:rsidTr="0012633B">
        <w:tc>
          <w:tcPr>
            <w:tcW w:w="1985" w:type="dxa"/>
          </w:tcPr>
          <w:p w:rsidR="00DA7475" w:rsidRPr="00943B76" w:rsidRDefault="00DD1420" w:rsidP="0012633B">
            <w:pPr>
              <w:autoSpaceDE w:val="0"/>
              <w:autoSpaceDN w:val="0"/>
              <w:adjustRightInd w:val="0"/>
              <w:rPr>
                <w:rFonts w:ascii="宋体" w:hAnsi="宋体" w:cs="Consolas"/>
                <w:iCs/>
                <w:kern w:val="0"/>
                <w:sz w:val="21"/>
                <w:szCs w:val="21"/>
              </w:rPr>
            </w:pPr>
            <w:r>
              <w:rPr>
                <w:rFonts w:ascii="宋体" w:hAnsi="宋体"/>
                <w:sz w:val="21"/>
                <w:szCs w:val="21"/>
              </w:rPr>
              <w:t>张亦驰</w:t>
            </w:r>
          </w:p>
        </w:tc>
        <w:tc>
          <w:tcPr>
            <w:tcW w:w="5528" w:type="dxa"/>
            <w:gridSpan w:val="2"/>
          </w:tcPr>
          <w:p w:rsidR="00DA7475" w:rsidRPr="00943B76" w:rsidRDefault="00DD1420" w:rsidP="0012633B">
            <w:pPr>
              <w:autoSpaceDE w:val="0"/>
              <w:autoSpaceDN w:val="0"/>
              <w:adjustRightInd w:val="0"/>
              <w:rPr>
                <w:rFonts w:ascii="宋体" w:hAnsi="宋体" w:cs="Consolas"/>
                <w:iCs/>
                <w:kern w:val="0"/>
                <w:sz w:val="21"/>
                <w:szCs w:val="21"/>
              </w:rPr>
            </w:pPr>
            <w:r>
              <w:rPr>
                <w:rFonts w:ascii="宋体" w:hAnsi="宋体"/>
                <w:sz w:val="21"/>
                <w:szCs w:val="21"/>
              </w:rPr>
              <w:t>2021-05-25</w:t>
            </w:r>
          </w:p>
        </w:tc>
        <w:tc>
          <w:tcPr>
            <w:tcW w:w="3402" w:type="dxa"/>
          </w:tcPr>
          <w:p w:rsidR="00DA7475" w:rsidRPr="00943B76" w:rsidRDefault="00DD1420" w:rsidP="0012633B">
            <w:pPr>
              <w:autoSpaceDE w:val="0"/>
              <w:autoSpaceDN w:val="0"/>
              <w:adjustRightInd w:val="0"/>
              <w:rPr>
                <w:rFonts w:ascii="宋体" w:hAnsi="宋体"/>
                <w:sz w:val="21"/>
                <w:szCs w:val="21"/>
              </w:rPr>
            </w:pPr>
            <w:r>
              <w:rPr>
                <w:rFonts w:ascii="宋体" w:hAnsi="宋体"/>
                <w:sz w:val="21"/>
                <w:szCs w:val="21"/>
              </w:rPr>
              <w:t>2012-08-01</w:t>
            </w:r>
          </w:p>
        </w:tc>
      </w:tr>
      <w:tr w:rsidR="00DA7475" w:rsidRPr="00943B76" w:rsidTr="0012633B">
        <w:tc>
          <w:tcPr>
            <w:tcW w:w="1985" w:type="dxa"/>
          </w:tcPr>
          <w:p w:rsidR="00DA7475" w:rsidRPr="00943B76" w:rsidRDefault="00DD1420" w:rsidP="0012633B">
            <w:pPr>
              <w:autoSpaceDE w:val="0"/>
              <w:autoSpaceDN w:val="0"/>
              <w:adjustRightInd w:val="0"/>
              <w:rPr>
                <w:rFonts w:ascii="宋体" w:hAnsi="宋体" w:cs="Consolas"/>
                <w:iCs/>
                <w:kern w:val="0"/>
                <w:sz w:val="21"/>
                <w:szCs w:val="21"/>
              </w:rPr>
            </w:pPr>
            <w:r>
              <w:rPr>
                <w:rFonts w:ascii="宋体" w:hAnsi="宋体"/>
                <w:sz w:val="21"/>
                <w:szCs w:val="21"/>
              </w:rPr>
              <w:t>谭跃峰</w:t>
            </w:r>
          </w:p>
        </w:tc>
        <w:tc>
          <w:tcPr>
            <w:tcW w:w="5528" w:type="dxa"/>
            <w:gridSpan w:val="2"/>
          </w:tcPr>
          <w:p w:rsidR="00DA7475" w:rsidRPr="00943B76" w:rsidRDefault="00DD1420" w:rsidP="0012633B">
            <w:pPr>
              <w:autoSpaceDE w:val="0"/>
              <w:autoSpaceDN w:val="0"/>
              <w:adjustRightInd w:val="0"/>
              <w:rPr>
                <w:rFonts w:ascii="宋体" w:hAnsi="宋体" w:cs="Consolas"/>
                <w:iCs/>
                <w:kern w:val="0"/>
                <w:sz w:val="21"/>
                <w:szCs w:val="21"/>
              </w:rPr>
            </w:pPr>
            <w:r>
              <w:rPr>
                <w:rFonts w:ascii="宋体" w:hAnsi="宋体"/>
                <w:sz w:val="21"/>
                <w:szCs w:val="21"/>
              </w:rPr>
              <w:t>2021-12-29</w:t>
            </w:r>
          </w:p>
        </w:tc>
        <w:tc>
          <w:tcPr>
            <w:tcW w:w="3402" w:type="dxa"/>
          </w:tcPr>
          <w:p w:rsidR="00DA7475" w:rsidRPr="00943B76" w:rsidRDefault="00DD1420" w:rsidP="0012633B">
            <w:pPr>
              <w:autoSpaceDE w:val="0"/>
              <w:autoSpaceDN w:val="0"/>
              <w:adjustRightInd w:val="0"/>
              <w:rPr>
                <w:rFonts w:ascii="宋体" w:hAnsi="宋体"/>
                <w:sz w:val="21"/>
                <w:szCs w:val="21"/>
              </w:rPr>
            </w:pPr>
            <w:r>
              <w:rPr>
                <w:rFonts w:ascii="宋体" w:hAnsi="宋体"/>
                <w:sz w:val="21"/>
                <w:szCs w:val="21"/>
              </w:rPr>
              <w:t>2011-07-01</w:t>
            </w:r>
          </w:p>
        </w:tc>
      </w:tr>
      <w:tr w:rsidR="006A53E7" w:rsidRPr="00335FE8" w:rsidTr="00902522">
        <w:tblPrEx>
          <w:jc w:val="center"/>
          <w:tblInd w:w="0" w:type="dxa"/>
        </w:tblPrEx>
        <w:trPr>
          <w:jc w:val="center"/>
        </w:trPr>
        <w:tc>
          <w:tcPr>
            <w:tcW w:w="2547" w:type="dxa"/>
          </w:tcPr>
          <w:p w:rsidR="006A53E7" w:rsidRPr="00335FE8" w:rsidRDefault="006A53E7" w:rsidP="006A53E7">
            <w:pPr>
              <w:jc w:val="left"/>
            </w:pPr>
            <w:r w:rsidRPr="00335FE8">
              <w:rPr>
                <w:rFonts w:ascii="宋体" w:hAnsi="宋体" w:cs="Consolas" w:hint="eastAsia"/>
                <w:iCs/>
                <w:kern w:val="0"/>
                <w:sz w:val="21"/>
                <w:szCs w:val="21"/>
              </w:rPr>
              <w:t>其他</w:t>
            </w:r>
          </w:p>
        </w:tc>
        <w:tc>
          <w:tcPr>
            <w:tcW w:w="6525" w:type="dxa"/>
            <w:gridSpan w:val="3"/>
          </w:tcPr>
          <w:p w:rsidR="006A53E7" w:rsidRPr="00335FE8" w:rsidRDefault="006A53E7" w:rsidP="006A53E7">
            <w:pPr>
              <w:jc w:val="left"/>
            </w:pPr>
            <w:r w:rsidRPr="00335FE8">
              <w:rPr>
                <w:rFonts w:ascii="宋体" w:hAnsi="宋体" w:cs="Consolas" w:hint="eastAsia"/>
                <w:iCs/>
                <w:kern w:val="0"/>
                <w:sz w:val="21"/>
                <w:szCs w:val="21"/>
              </w:rPr>
              <w:t>基金合同生效之日起三年后的对应自然日，若基金资产净值低于2亿元，本基金应当按照基金合同约定的程序进行清算并终止，且不得通过召开基金份额持有人大会的方式延续。自基金合同生效之日起满3年后本基金继续存续的，连续50个工作日出现基金份额持有人数量不满200人或者基金资产净值低于5000万元的，基金管理人将终止基金合同，并按照基金合同约定程序进行清算，此事项不需要召开基金份额持有人大会进行表决。</w:t>
            </w:r>
          </w:p>
        </w:tc>
      </w:tr>
    </w:tbl>
    <w:p w:rsidR="004B51AE" w:rsidRPr="001F03B7" w:rsidRDefault="00DD1420" w:rsidP="0003056B">
      <w:pPr>
        <w:rPr>
          <w:rFonts w:ascii="宋体" w:hAnsi="宋体" w:cs="宋体"/>
          <w:b/>
          <w:iCs/>
          <w:sz w:val="21"/>
          <w:szCs w:val="21"/>
        </w:rPr>
      </w:pPr>
      <w:r w:rsidRPr="001F03B7">
        <w:rPr>
          <w:rFonts w:ascii="宋体" w:hAnsi="宋体" w:cs="宋体" w:hint="eastAsia"/>
          <w:b/>
          <w:iCs/>
          <w:sz w:val="21"/>
          <w:szCs w:val="21"/>
        </w:rPr>
        <w:t>二、基金投资与净值表现</w:t>
      </w:r>
    </w:p>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（一）投资目标与投资策略</w:t>
      </w:r>
    </w:p>
    <w:p w:rsidR="00D373CC" w:rsidRPr="00335FE8" w:rsidRDefault="00D373CC" w:rsidP="00D373CC">
      <w:pPr>
        <w:jc w:val="left"/>
        <w:rPr>
          <w:rFonts w:ascii="宋体" w:eastAsia="宋体" w:hAnsi="宋体" w:cs="宋体"/>
          <w:sz w:val="21"/>
          <w:szCs w:val="21"/>
        </w:rPr>
      </w:pPr>
      <w:r w:rsidRPr="00335FE8">
        <w:rPr>
          <w:rFonts w:ascii="宋体" w:eastAsia="宋体" w:hAnsi="宋体" w:cs="宋体" w:hint="eastAsia"/>
          <w:sz w:val="21"/>
          <w:szCs w:val="21"/>
        </w:rPr>
        <w:t>投资有风险，投资人在进行投资决策前，请仔细阅读本基金《招募说明书》“第九部分　基金的投资”了解本基金的风险收益特征，并根据自身的投资目的、投资期限、投资经验、资产状况等判断基金是否和投资人的风险承受能力相适应。</w:t>
      </w:r>
    </w:p>
    <w:tbl>
      <w:tblPr>
        <w:tblW w:w="9073" w:type="dxa"/>
        <w:tblInd w:w="-431" w:type="dxa"/>
        <w:tblBorders>
          <w:top w:val="single" w:sz="4" w:space="0" w:color="000000"/>
          <w:bottom w:val="single" w:sz="4" w:space="0" w:color="000000"/>
          <w:insideH w:val="dotted" w:sz="4" w:space="0" w:color="auto"/>
        </w:tblBorders>
        <w:tblLook w:val="04A0" w:firstRow="1" w:lastRow="0" w:firstColumn="1" w:lastColumn="0" w:noHBand="0" w:noVBand="1"/>
      </w:tblPr>
      <w:tblGrid>
        <w:gridCol w:w="1502"/>
        <w:gridCol w:w="7571"/>
      </w:tblGrid>
      <w:tr w:rsidR="002D5495" w:rsidRPr="00943B76" w:rsidTr="00AE7CEB">
        <w:tc>
          <w:tcPr>
            <w:tcW w:w="1560" w:type="dxa"/>
          </w:tcPr>
          <w:p w:rsidR="002D5495" w:rsidRPr="00F03BC3" w:rsidRDefault="00DD1420"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投资目标</w:t>
            </w:r>
          </w:p>
        </w:tc>
        <w:tc>
          <w:tcPr>
            <w:tcW w:w="7938" w:type="dxa"/>
          </w:tcPr>
          <w:p w:rsidR="002D5495" w:rsidRPr="00943B76" w:rsidRDefault="00DD1420" w:rsidP="0003056B">
            <w:pPr>
              <w:autoSpaceDE w:val="0"/>
              <w:autoSpaceDN w:val="0"/>
              <w:adjustRightInd w:val="0"/>
              <w:rPr>
                <w:rFonts w:ascii="宋体" w:hAnsi="宋体" w:cs="Consolas"/>
                <w:iCs/>
                <w:kern w:val="0"/>
                <w:sz w:val="21"/>
                <w:szCs w:val="21"/>
              </w:rPr>
            </w:pPr>
            <w:r>
              <w:rPr>
                <w:rFonts w:ascii="宋体" w:hAnsi="宋体" w:hint="eastAsia"/>
                <w:sz w:val="21"/>
                <w:szCs w:val="21"/>
              </w:rPr>
              <w:t>本基金主要通过投资于目标</w:t>
            </w:r>
            <w:r>
              <w:rPr>
                <w:rFonts w:ascii="宋体" w:hAnsi="宋体" w:hint="eastAsia"/>
                <w:sz w:val="21"/>
                <w:szCs w:val="21"/>
              </w:rPr>
              <w:t>ETF</w:t>
            </w:r>
            <w:r>
              <w:rPr>
                <w:rFonts w:ascii="宋体" w:hAnsi="宋体" w:hint="eastAsia"/>
                <w:sz w:val="21"/>
                <w:szCs w:val="21"/>
              </w:rPr>
              <w:t>，紧密跟踪标的指数，追求跟踪偏离度和跟踪误差最小化。</w:t>
            </w:r>
          </w:p>
        </w:tc>
      </w:tr>
      <w:tr w:rsidR="002D5495" w:rsidRPr="00943B76" w:rsidTr="00AE7CEB">
        <w:tc>
          <w:tcPr>
            <w:tcW w:w="1560" w:type="dxa"/>
          </w:tcPr>
          <w:p w:rsidR="002D5495" w:rsidRPr="00F03BC3" w:rsidRDefault="00DD1420" w:rsidP="0003056B">
            <w:pPr>
              <w:autoSpaceDE w:val="0"/>
              <w:autoSpaceDN w:val="0"/>
              <w:adjustRightInd w:val="0"/>
              <w:rPr>
                <w:rFonts w:ascii="宋体" w:hAnsi="宋体" w:cs="Consolas"/>
                <w:b/>
                <w:iCs/>
                <w:kern w:val="0"/>
                <w:sz w:val="21"/>
                <w:szCs w:val="21"/>
              </w:rPr>
            </w:pPr>
            <w:r w:rsidRPr="00F03BC3">
              <w:rPr>
                <w:rFonts w:ascii="宋体" w:hAnsi="宋体" w:hint="eastAsia"/>
                <w:b/>
                <w:sz w:val="21"/>
                <w:szCs w:val="21"/>
              </w:rPr>
              <w:t>投资范围</w:t>
            </w:r>
          </w:p>
        </w:tc>
        <w:tc>
          <w:tcPr>
            <w:tcW w:w="7938" w:type="dxa"/>
          </w:tcPr>
          <w:p w:rsidR="00AE7CEB" w:rsidRDefault="00DD1420" w:rsidP="0003056B">
            <w:pPr>
              <w:autoSpaceDE w:val="0"/>
              <w:autoSpaceDN w:val="0"/>
              <w:adjustRightInd w:val="0"/>
              <w:rPr>
                <w:rFonts w:ascii="宋体" w:hAnsi="宋体"/>
                <w:sz w:val="21"/>
                <w:szCs w:val="21"/>
              </w:rPr>
            </w:pPr>
            <w:r>
              <w:rPr>
                <w:rFonts w:ascii="宋体" w:hAnsi="宋体" w:hint="eastAsia"/>
                <w:sz w:val="21"/>
                <w:szCs w:val="21"/>
              </w:rPr>
              <w:t>本基金以目标</w:t>
            </w:r>
            <w:r>
              <w:rPr>
                <w:rFonts w:ascii="宋体" w:hAnsi="宋体" w:hint="eastAsia"/>
                <w:sz w:val="21"/>
                <w:szCs w:val="21"/>
              </w:rPr>
              <w:t>ETF</w:t>
            </w:r>
            <w:r>
              <w:rPr>
                <w:rFonts w:ascii="宋体" w:hAnsi="宋体" w:hint="eastAsia"/>
                <w:sz w:val="21"/>
                <w:szCs w:val="21"/>
              </w:rPr>
              <w:t>基金份额、标的指数成份股及备选成份股为主要投资对象。此外，为更好地实现投资目标，本基金可少量投资于非成份股（包含中小板股票、创业板股票、存托凭证及其他经中国证监会核准或注册上市</w:t>
            </w:r>
            <w:r>
              <w:rPr>
                <w:rFonts w:ascii="宋体" w:hAnsi="宋体" w:hint="eastAsia"/>
                <w:sz w:val="21"/>
                <w:szCs w:val="21"/>
              </w:rPr>
              <w:t>的股票）、债券资产（包括国债、金融债券、企业债券、公司债券、次级债券、央行票据、短期融资券、超短期融资券、地方政府债、中期票据以及其他中国证监会允许投资的债券等）、银行存款（包括银行定期存款、协议存款及其他银行存款）、资产支持证券、债券回购、同业存单、现金、衍生工具（股指期货、股票期权）以及法律法规或中国证监会允许本基金投资的其他金融工具（但须符合中国证监会相关规定）。</w:t>
            </w:r>
          </w:p>
          <w:p w:rsidR="00AE7CEB" w:rsidRDefault="00DD1420" w:rsidP="0003056B">
            <w:pPr>
              <w:autoSpaceDE w:val="0"/>
              <w:autoSpaceDN w:val="0"/>
              <w:adjustRightInd w:val="0"/>
              <w:rPr>
                <w:rFonts w:ascii="宋体" w:hAnsi="宋体"/>
                <w:sz w:val="21"/>
                <w:szCs w:val="21"/>
              </w:rPr>
            </w:pPr>
            <w:r>
              <w:rPr>
                <w:rFonts w:ascii="宋体" w:hAnsi="宋体" w:hint="eastAsia"/>
                <w:sz w:val="21"/>
                <w:szCs w:val="21"/>
              </w:rPr>
              <w:lastRenderedPageBreak/>
              <w:t>基金的投资组合比例为：本基金投资于目标</w:t>
            </w:r>
            <w:r>
              <w:rPr>
                <w:rFonts w:ascii="宋体" w:hAnsi="宋体" w:hint="eastAsia"/>
                <w:sz w:val="21"/>
                <w:szCs w:val="21"/>
              </w:rPr>
              <w:t>ETF</w:t>
            </w:r>
            <w:r>
              <w:rPr>
                <w:rFonts w:ascii="宋体" w:hAnsi="宋体" w:hint="eastAsia"/>
                <w:sz w:val="21"/>
                <w:szCs w:val="21"/>
              </w:rPr>
              <w:t>的比例不低于基金资产净值的</w:t>
            </w:r>
            <w:r>
              <w:rPr>
                <w:rFonts w:ascii="宋体" w:hAnsi="宋体" w:hint="eastAsia"/>
                <w:sz w:val="21"/>
                <w:szCs w:val="21"/>
              </w:rPr>
              <w:t>90%</w:t>
            </w:r>
            <w:r>
              <w:rPr>
                <w:rFonts w:ascii="宋体" w:hAnsi="宋体" w:hint="eastAsia"/>
                <w:sz w:val="21"/>
                <w:szCs w:val="21"/>
              </w:rPr>
              <w:t>，每个交易日日终在扣除股指期货合约、股票期权合约需缴纳的交易保证金后，保持不低于基金资产净值</w:t>
            </w:r>
            <w:r>
              <w:rPr>
                <w:rFonts w:ascii="宋体" w:hAnsi="宋体" w:hint="eastAsia"/>
                <w:sz w:val="21"/>
                <w:szCs w:val="21"/>
              </w:rPr>
              <w:t>5%</w:t>
            </w:r>
            <w:r>
              <w:rPr>
                <w:rFonts w:ascii="宋体" w:hAnsi="宋体" w:hint="eastAsia"/>
                <w:sz w:val="21"/>
                <w:szCs w:val="21"/>
              </w:rPr>
              <w:t>的现金或者到期日在一年以内的政府债券，其中，现金不包括结算备付金、存出保证金和应收申购款等。</w:t>
            </w:r>
          </w:p>
        </w:tc>
      </w:tr>
      <w:tr w:rsidR="002D5495" w:rsidRPr="00943B76" w:rsidTr="00AE7CEB">
        <w:tc>
          <w:tcPr>
            <w:tcW w:w="1560" w:type="dxa"/>
          </w:tcPr>
          <w:p w:rsidR="002D5495" w:rsidRPr="00F03BC3" w:rsidRDefault="00DD1420"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lastRenderedPageBreak/>
              <w:t>主要投资策略</w:t>
            </w:r>
          </w:p>
        </w:tc>
        <w:tc>
          <w:tcPr>
            <w:tcW w:w="7938" w:type="dxa"/>
          </w:tcPr>
          <w:p w:rsidR="002D5495" w:rsidRPr="00943B76" w:rsidRDefault="00DD1420" w:rsidP="0003056B">
            <w:pPr>
              <w:autoSpaceDE w:val="0"/>
              <w:autoSpaceDN w:val="0"/>
              <w:adjustRightInd w:val="0"/>
              <w:rPr>
                <w:rFonts w:ascii="宋体" w:hAnsi="宋体" w:cs="Consolas"/>
                <w:iCs/>
                <w:kern w:val="0"/>
                <w:sz w:val="21"/>
                <w:szCs w:val="21"/>
              </w:rPr>
            </w:pPr>
            <w:r>
              <w:rPr>
                <w:rFonts w:ascii="宋体" w:hAnsi="宋体" w:hint="eastAsia"/>
                <w:sz w:val="21"/>
                <w:szCs w:val="21"/>
              </w:rPr>
              <w:t>目标</w:t>
            </w:r>
            <w:r>
              <w:rPr>
                <w:rFonts w:ascii="宋体" w:hAnsi="宋体" w:hint="eastAsia"/>
                <w:sz w:val="21"/>
                <w:szCs w:val="21"/>
              </w:rPr>
              <w:t>ETF</w:t>
            </w:r>
            <w:r>
              <w:rPr>
                <w:rFonts w:ascii="宋体" w:hAnsi="宋体" w:hint="eastAsia"/>
                <w:sz w:val="21"/>
                <w:szCs w:val="21"/>
              </w:rPr>
              <w:t>投资策略</w:t>
            </w:r>
          </w:p>
          <w:p w:rsidR="002D5495" w:rsidRPr="00943B76" w:rsidRDefault="00DD1420" w:rsidP="0003056B">
            <w:pPr>
              <w:autoSpaceDE w:val="0"/>
              <w:autoSpaceDN w:val="0"/>
              <w:adjustRightInd w:val="0"/>
              <w:rPr>
                <w:rFonts w:ascii="宋体" w:hAnsi="宋体" w:cs="Consolas"/>
                <w:iCs/>
                <w:kern w:val="0"/>
                <w:sz w:val="21"/>
                <w:szCs w:val="21"/>
              </w:rPr>
            </w:pPr>
            <w:r>
              <w:rPr>
                <w:rFonts w:ascii="宋体" w:hAnsi="宋体" w:hint="eastAsia"/>
                <w:sz w:val="21"/>
                <w:szCs w:val="21"/>
              </w:rPr>
              <w:t>本基金在综合考虑合规、风险、效率、成本等因素的基础上，决定采用申赎的方式或证券二级市场交易的方式进行目标</w:t>
            </w:r>
            <w:r>
              <w:rPr>
                <w:rFonts w:ascii="宋体" w:hAnsi="宋体" w:hint="eastAsia"/>
                <w:sz w:val="21"/>
                <w:szCs w:val="21"/>
              </w:rPr>
              <w:t>ETF</w:t>
            </w:r>
            <w:r>
              <w:rPr>
                <w:rFonts w:ascii="宋体" w:hAnsi="宋体" w:hint="eastAsia"/>
                <w:sz w:val="21"/>
                <w:szCs w:val="21"/>
              </w:rPr>
              <w:t>的买卖。本基金还可适度参与目标</w:t>
            </w:r>
            <w:r>
              <w:rPr>
                <w:rFonts w:ascii="宋体" w:hAnsi="宋体" w:hint="eastAsia"/>
                <w:sz w:val="21"/>
                <w:szCs w:val="21"/>
              </w:rPr>
              <w:t>ETF</w:t>
            </w:r>
            <w:r>
              <w:rPr>
                <w:rFonts w:ascii="宋体" w:hAnsi="宋体" w:hint="eastAsia"/>
                <w:sz w:val="21"/>
                <w:szCs w:val="21"/>
              </w:rPr>
              <w:t>基金份额交易和申购、赎回之间的套利，以增强基金收益。</w:t>
            </w:r>
          </w:p>
        </w:tc>
      </w:tr>
      <w:tr w:rsidR="002D5495" w:rsidRPr="00943B76" w:rsidTr="00AE7CEB">
        <w:tc>
          <w:tcPr>
            <w:tcW w:w="1560" w:type="dxa"/>
          </w:tcPr>
          <w:p w:rsidR="002D5495" w:rsidRPr="00F03BC3" w:rsidRDefault="00DD1420"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业绩比较</w:t>
            </w:r>
            <w:r w:rsidRPr="00F03BC3">
              <w:rPr>
                <w:rFonts w:ascii="宋体" w:hAnsi="宋体" w:cs="Consolas" w:hint="eastAsia"/>
                <w:b/>
                <w:iCs/>
                <w:kern w:val="0"/>
                <w:sz w:val="21"/>
                <w:szCs w:val="21"/>
              </w:rPr>
              <w:t>基准</w:t>
            </w:r>
          </w:p>
        </w:tc>
        <w:tc>
          <w:tcPr>
            <w:tcW w:w="7938" w:type="dxa"/>
          </w:tcPr>
          <w:p w:rsidR="002D5495" w:rsidRPr="00943B76" w:rsidRDefault="00DD1420" w:rsidP="0003056B">
            <w:pPr>
              <w:autoSpaceDE w:val="0"/>
              <w:autoSpaceDN w:val="0"/>
              <w:adjustRightInd w:val="0"/>
              <w:rPr>
                <w:rFonts w:ascii="宋体" w:hAnsi="宋体" w:cs="Consolas"/>
                <w:iCs/>
                <w:kern w:val="0"/>
                <w:sz w:val="21"/>
                <w:szCs w:val="21"/>
              </w:rPr>
            </w:pPr>
            <w:r>
              <w:rPr>
                <w:rFonts w:ascii="宋体" w:hAnsi="宋体" w:hint="eastAsia"/>
                <w:sz w:val="21"/>
                <w:szCs w:val="21"/>
              </w:rPr>
              <w:t>巨潮小盘价值指数收益率×</w:t>
            </w:r>
            <w:r>
              <w:rPr>
                <w:rFonts w:ascii="宋体" w:hAnsi="宋体" w:hint="eastAsia"/>
                <w:sz w:val="21"/>
                <w:szCs w:val="21"/>
              </w:rPr>
              <w:t>95%+</w:t>
            </w:r>
            <w:r>
              <w:rPr>
                <w:rFonts w:ascii="宋体" w:hAnsi="宋体" w:hint="eastAsia"/>
                <w:sz w:val="21"/>
                <w:szCs w:val="21"/>
              </w:rPr>
              <w:t>银行活期存款利率（税后）×</w:t>
            </w:r>
            <w:r>
              <w:rPr>
                <w:rFonts w:ascii="宋体" w:hAnsi="宋体" w:hint="eastAsia"/>
                <w:sz w:val="21"/>
                <w:szCs w:val="21"/>
              </w:rPr>
              <w:t>5%</w:t>
            </w:r>
          </w:p>
        </w:tc>
      </w:tr>
      <w:tr w:rsidR="00A7207D" w:rsidRPr="00943B76" w:rsidTr="00AE7CEB">
        <w:tc>
          <w:tcPr>
            <w:tcW w:w="1560" w:type="dxa"/>
          </w:tcPr>
          <w:p w:rsidR="00A7207D" w:rsidRPr="00F03BC3" w:rsidRDefault="00DD1420"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风险收益特征</w:t>
            </w:r>
          </w:p>
        </w:tc>
        <w:tc>
          <w:tcPr>
            <w:tcW w:w="7938" w:type="dxa"/>
          </w:tcPr>
          <w:p w:rsidR="00A7207D" w:rsidRPr="00943B76" w:rsidRDefault="00DD1420" w:rsidP="0003056B">
            <w:pPr>
              <w:autoSpaceDE w:val="0"/>
              <w:autoSpaceDN w:val="0"/>
              <w:adjustRightInd w:val="0"/>
              <w:rPr>
                <w:rFonts w:ascii="宋体" w:hAnsi="宋体" w:cs="Consolas"/>
                <w:iCs/>
                <w:kern w:val="0"/>
                <w:sz w:val="21"/>
                <w:szCs w:val="21"/>
              </w:rPr>
            </w:pPr>
            <w:r>
              <w:rPr>
                <w:rFonts w:ascii="宋体" w:hAnsi="宋体" w:hint="eastAsia"/>
                <w:sz w:val="21"/>
                <w:szCs w:val="21"/>
              </w:rPr>
              <w:t>本基金为</w:t>
            </w:r>
            <w:r>
              <w:rPr>
                <w:rFonts w:ascii="宋体" w:hAnsi="宋体" w:hint="eastAsia"/>
                <w:sz w:val="21"/>
                <w:szCs w:val="21"/>
              </w:rPr>
              <w:t>ETF</w:t>
            </w:r>
            <w:r>
              <w:rPr>
                <w:rFonts w:ascii="宋体" w:hAnsi="宋体" w:hint="eastAsia"/>
                <w:sz w:val="21"/>
                <w:szCs w:val="21"/>
              </w:rPr>
              <w:t>联接基金，风险与收益高于债券型基金与货币市场基金。本基金主要投资于目标</w:t>
            </w:r>
            <w:r>
              <w:rPr>
                <w:rFonts w:ascii="宋体" w:hAnsi="宋体" w:hint="eastAsia"/>
                <w:sz w:val="21"/>
                <w:szCs w:val="21"/>
              </w:rPr>
              <w:t>ETF</w:t>
            </w:r>
            <w:r>
              <w:rPr>
                <w:rFonts w:ascii="宋体" w:hAnsi="宋体" w:hint="eastAsia"/>
                <w:sz w:val="21"/>
                <w:szCs w:val="21"/>
              </w:rPr>
              <w:t>，紧密跟踪标的指数，具有与标的指数以及标的指数所代表的股票市场相似的风险收益特征。</w:t>
            </w:r>
          </w:p>
        </w:tc>
      </w:tr>
    </w:tbl>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（二）投资组合资产配置图表/区域配置图表</w:t>
      </w:r>
    </w:p>
    <w:p w:rsidR="00D373CC" w:rsidRPr="00335FE8" w:rsidRDefault="00DD1420" w:rsidP="00D373CC">
      <w:pPr>
        <w:jc w:val="center"/>
        <w:rPr>
          <w:rFonts w:ascii="宋体" w:eastAsia="宋体" w:hAnsi="宋体" w:cs="宋体"/>
          <w:b/>
          <w:sz w:val="21"/>
          <w:szCs w:val="21"/>
        </w:rPr>
      </w:pPr>
      <w:r>
        <w:rPr>
          <w:rFonts w:ascii="宋体" w:hAnsi="宋体"/>
          <w:kern w:val="0"/>
          <w:sz w:val="21"/>
          <w:szCs w:val="21"/>
        </w:rPr>
        <w:pict w14:anchorId="54FA8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49.75pt">
            <v:imagedata r:id="rId7" o:title="1521256610242020828"/>
          </v:shape>
        </w:pict>
      </w:r>
    </w:p>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（三）</w:t>
      </w:r>
      <w:r w:rsidRPr="0090269C">
        <w:rPr>
          <w:rFonts w:ascii="宋体" w:eastAsia="宋体" w:hAnsi="宋体" w:cs="宋体" w:hint="eastAsia"/>
          <w:b/>
          <w:sz w:val="21"/>
          <w:szCs w:val="21"/>
        </w:rPr>
        <w:t>自基金合同生效以来/最近十年（孰短）基金每年的净值增长率及与同期业绩比较基准的比较图</w:t>
      </w:r>
    </w:p>
    <w:p w:rsidR="00D373CC" w:rsidRPr="00335FE8" w:rsidRDefault="00DD1420" w:rsidP="00D373CC">
      <w:pPr>
        <w:jc w:val="center"/>
        <w:rPr>
          <w:rFonts w:ascii="宋体" w:eastAsia="宋体" w:hAnsi="宋体" w:cs="宋体"/>
          <w:b/>
          <w:sz w:val="21"/>
          <w:szCs w:val="21"/>
        </w:rPr>
      </w:pPr>
      <w:r>
        <w:rPr>
          <w:rFonts w:ascii="宋体" w:hAnsi="宋体"/>
          <w:kern w:val="0"/>
          <w:sz w:val="21"/>
          <w:szCs w:val="21"/>
        </w:rPr>
        <w:pict w14:anchorId="54FA80B1">
          <v:shape id="_x0000_i1026" type="#_x0000_t75" style="width:500.25pt;height:159.75pt">
            <v:imagedata r:id="rId8" o:title="1521256610242020828"/>
          </v:shape>
        </w:pict>
      </w:r>
    </w:p>
    <w:p w:rsidR="00D373CC" w:rsidRPr="00335FE8" w:rsidRDefault="00DD1420" w:rsidP="00D373CC">
      <w:pPr>
        <w:jc w:val="center"/>
        <w:rPr>
          <w:rFonts w:ascii="宋体" w:eastAsia="宋体" w:hAnsi="宋体" w:cs="宋体"/>
          <w:b/>
          <w:sz w:val="21"/>
          <w:szCs w:val="21"/>
        </w:rPr>
      </w:pPr>
      <w:r>
        <w:rPr>
          <w:rFonts w:ascii="宋体" w:hAnsi="宋体"/>
          <w:kern w:val="0"/>
          <w:sz w:val="21"/>
          <w:szCs w:val="21"/>
        </w:rPr>
        <w:lastRenderedPageBreak/>
        <w:pict w14:anchorId="54FA80B1">
          <v:shape id="_x0000_i1027" type="#_x0000_t75" style="width:500.25pt;height:159.75pt">
            <v:imagedata r:id="rId9" o:title="1521256610242020828"/>
          </v:shape>
        </w:pict>
      </w:r>
    </w:p>
    <w:p w:rsidR="00F811C4" w:rsidRPr="00335FE8" w:rsidRDefault="00F811C4" w:rsidP="00F811C4">
      <w:pPr>
        <w:ind w:firstLine="420"/>
        <w:jc w:val="left"/>
        <w:rPr>
          <w:rFonts w:ascii="宋体" w:eastAsia="宋体" w:hAnsi="宋体" w:cs="宋体"/>
          <w:sz w:val="21"/>
          <w:szCs w:val="21"/>
        </w:rPr>
      </w:pPr>
      <w:r w:rsidRPr="00335FE8">
        <w:rPr>
          <w:rFonts w:ascii="宋体" w:eastAsia="宋体" w:hAnsi="宋体" w:cs="宋体" w:hint="eastAsia"/>
          <w:b/>
          <w:sz w:val="21"/>
          <w:szCs w:val="21"/>
        </w:rPr>
        <w:t>注：</w:t>
      </w:r>
      <w:r w:rsidRPr="00335FE8">
        <w:rPr>
          <w:rFonts w:ascii="宋体" w:eastAsia="宋体" w:hAnsi="宋体" w:cs="宋体" w:hint="eastAsia"/>
          <w:sz w:val="21"/>
          <w:szCs w:val="21"/>
        </w:rPr>
        <w:t>业绩表现截止日期2022年12月31日。基金过往业绩不代表未来表现。</w:t>
      </w:r>
    </w:p>
    <w:p w:rsidR="00E53AB6" w:rsidRPr="00741E09" w:rsidRDefault="00DD1420" w:rsidP="0003056B">
      <w:pPr>
        <w:rPr>
          <w:rFonts w:ascii="宋体" w:hAnsi="宋体" w:cs="宋体"/>
          <w:b/>
          <w:iCs/>
          <w:sz w:val="21"/>
          <w:szCs w:val="21"/>
        </w:rPr>
      </w:pPr>
      <w:r w:rsidRPr="00741E09">
        <w:rPr>
          <w:rFonts w:ascii="宋体" w:hAnsi="宋体" w:cs="宋体" w:hint="eastAsia"/>
          <w:b/>
          <w:iCs/>
          <w:sz w:val="21"/>
          <w:szCs w:val="21"/>
        </w:rPr>
        <w:t>三、投资本基金涉及的费用</w:t>
      </w:r>
    </w:p>
    <w:p w:rsidR="00E53AB6" w:rsidRPr="00741E09" w:rsidRDefault="00DD1420" w:rsidP="0003056B">
      <w:pPr>
        <w:rPr>
          <w:rFonts w:ascii="宋体" w:hAnsi="宋体" w:cs="宋体"/>
          <w:b/>
          <w:iCs/>
          <w:sz w:val="21"/>
          <w:szCs w:val="21"/>
        </w:rPr>
      </w:pPr>
      <w:r w:rsidRPr="00741E09">
        <w:rPr>
          <w:rFonts w:ascii="宋体" w:hAnsi="宋体" w:cs="宋体" w:hint="eastAsia"/>
          <w:b/>
          <w:iCs/>
          <w:sz w:val="21"/>
          <w:szCs w:val="21"/>
        </w:rPr>
        <w:t>（一）基金销售相关费用</w:t>
      </w:r>
    </w:p>
    <w:p w:rsidR="00163EDF" w:rsidRPr="00163EDF" w:rsidRDefault="00DD1420" w:rsidP="0003056B">
      <w:pPr>
        <w:rPr>
          <w:rFonts w:ascii="宋体" w:hAnsi="宋体"/>
          <w:sz w:val="21"/>
          <w:szCs w:val="21"/>
        </w:rPr>
      </w:pPr>
      <w:r w:rsidRPr="00163EDF">
        <w:rPr>
          <w:rFonts w:ascii="宋体" w:hAnsi="宋体" w:cs="宋体" w:hint="eastAsia"/>
          <w:iCs/>
          <w:sz w:val="21"/>
          <w:szCs w:val="21"/>
        </w:rPr>
        <w:t>以下费用在认购</w:t>
      </w:r>
      <w:r w:rsidRPr="00163EDF">
        <w:rPr>
          <w:rFonts w:ascii="宋体" w:hAnsi="宋体" w:cs="宋体" w:hint="eastAsia"/>
          <w:iCs/>
          <w:sz w:val="21"/>
          <w:szCs w:val="21"/>
        </w:rPr>
        <w:t>/</w:t>
      </w:r>
      <w:r w:rsidRPr="00163EDF">
        <w:rPr>
          <w:rFonts w:ascii="宋体" w:hAnsi="宋体" w:cs="宋体" w:hint="eastAsia"/>
          <w:iCs/>
          <w:sz w:val="21"/>
          <w:szCs w:val="21"/>
        </w:rPr>
        <w:t>申购</w:t>
      </w:r>
      <w:r w:rsidRPr="00163EDF">
        <w:rPr>
          <w:rFonts w:ascii="宋体" w:hAnsi="宋体" w:cs="宋体" w:hint="eastAsia"/>
          <w:iCs/>
          <w:sz w:val="21"/>
          <w:szCs w:val="21"/>
        </w:rPr>
        <w:t>/</w:t>
      </w:r>
      <w:r w:rsidRPr="00163EDF">
        <w:rPr>
          <w:rFonts w:ascii="宋体" w:hAnsi="宋体" w:cs="宋体" w:hint="eastAsia"/>
          <w:iCs/>
          <w:sz w:val="21"/>
          <w:szCs w:val="21"/>
        </w:rPr>
        <w:t>赎回基金过程中收取：</w:t>
      </w:r>
    </w:p>
    <w:p w:rsidR="00A16361" w:rsidRDefault="00A16361">
      <w:pPr>
        <w:jc w:val="right"/>
      </w:pPr>
    </w:p>
    <w:p w:rsidR="00D373CC" w:rsidRPr="00335FE8" w:rsidRDefault="00D373CC" w:rsidP="00D373CC">
      <w:pPr>
        <w:jc w:val="center"/>
        <w:rPr>
          <w:rFonts w:ascii="宋体" w:eastAsia="宋体" w:hAnsi="宋体" w:cs="宋体"/>
          <w:sz w:val="21"/>
          <w:szCs w:val="21"/>
        </w:rPr>
      </w:pPr>
      <w:r w:rsidRPr="00335FE8">
        <w:rPr>
          <w:rFonts w:ascii="宋体" w:hAnsi="宋体" w:hint="eastAsia"/>
          <w:b/>
          <w:sz w:val="21"/>
          <w:szCs w:val="21"/>
        </w:rPr>
        <w:t>银华巨潮小盘价值ETF发起式联接A</w:t>
      </w:r>
    </w:p>
    <w:tbl>
      <w:tblPr>
        <w:tblStyle w:val="a8"/>
        <w:tblW w:w="9308"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930"/>
        <w:gridCol w:w="2409"/>
        <w:gridCol w:w="1843"/>
        <w:gridCol w:w="2126"/>
      </w:tblGrid>
      <w:tr w:rsidR="00C02E1B" w:rsidRPr="00943B76" w:rsidTr="00AE7CEB">
        <w:trPr>
          <w:jc w:val="center"/>
        </w:trPr>
        <w:tc>
          <w:tcPr>
            <w:tcW w:w="2930" w:type="dxa"/>
            <w:tcBorders>
              <w:left w:val="nil"/>
              <w:bottom w:val="dotted" w:sz="4" w:space="0" w:color="auto"/>
              <w:right w:val="nil"/>
            </w:tcBorders>
          </w:tcPr>
          <w:p w:rsidR="00C02E1B" w:rsidRPr="00F03BC3" w:rsidRDefault="00DD1420" w:rsidP="0003056B">
            <w:pPr>
              <w:autoSpaceDE w:val="0"/>
              <w:autoSpaceDN w:val="0"/>
              <w:adjustRightInd w:val="0"/>
              <w:jc w:val="center"/>
              <w:rPr>
                <w:rFonts w:ascii="宋体" w:hAnsi="宋体"/>
                <w:b/>
                <w:sz w:val="21"/>
                <w:szCs w:val="21"/>
              </w:rPr>
            </w:pPr>
            <w:r w:rsidRPr="00F03BC3">
              <w:rPr>
                <w:rFonts w:ascii="宋体" w:hAnsi="宋体" w:hint="eastAsia"/>
                <w:b/>
                <w:sz w:val="21"/>
                <w:szCs w:val="21"/>
              </w:rPr>
              <w:t>费用类型</w:t>
            </w:r>
          </w:p>
        </w:tc>
        <w:tc>
          <w:tcPr>
            <w:tcW w:w="2409" w:type="dxa"/>
            <w:tcBorders>
              <w:left w:val="nil"/>
              <w:bottom w:val="dotted" w:sz="4" w:space="0" w:color="auto"/>
              <w:right w:val="nil"/>
            </w:tcBorders>
          </w:tcPr>
          <w:p w:rsidR="00C02E1B" w:rsidRPr="00F03BC3" w:rsidRDefault="00DD1420" w:rsidP="0003056B">
            <w:pPr>
              <w:autoSpaceDE w:val="0"/>
              <w:autoSpaceDN w:val="0"/>
              <w:adjustRightInd w:val="0"/>
              <w:jc w:val="center"/>
              <w:rPr>
                <w:rFonts w:ascii="宋体" w:hAnsi="宋体"/>
                <w:b/>
                <w:sz w:val="21"/>
                <w:szCs w:val="21"/>
              </w:rPr>
            </w:pPr>
            <w:r w:rsidRPr="00F03BC3">
              <w:rPr>
                <w:rFonts w:ascii="宋体" w:hAnsi="宋体" w:hint="eastAsia"/>
                <w:b/>
                <w:sz w:val="21"/>
                <w:szCs w:val="21"/>
              </w:rPr>
              <w:t>份额（</w:t>
            </w:r>
            <w:r w:rsidRPr="00F03BC3">
              <w:rPr>
                <w:rFonts w:ascii="宋体" w:hAnsi="宋体" w:hint="eastAsia"/>
                <w:b/>
                <w:sz w:val="21"/>
                <w:szCs w:val="21"/>
              </w:rPr>
              <w:t>S</w:t>
            </w:r>
            <w:r w:rsidRPr="00F03BC3">
              <w:rPr>
                <w:rFonts w:ascii="宋体" w:hAnsi="宋体" w:hint="eastAsia"/>
                <w:b/>
                <w:sz w:val="21"/>
                <w:szCs w:val="21"/>
              </w:rPr>
              <w:t>）或金额（</w:t>
            </w:r>
            <w:r w:rsidRPr="00F03BC3">
              <w:rPr>
                <w:rFonts w:ascii="宋体" w:hAnsi="宋体" w:hint="eastAsia"/>
                <w:b/>
                <w:sz w:val="21"/>
                <w:szCs w:val="21"/>
              </w:rPr>
              <w:t>M</w:t>
            </w:r>
            <w:r w:rsidRPr="00F03BC3">
              <w:rPr>
                <w:rFonts w:ascii="宋体" w:hAnsi="宋体" w:hint="eastAsia"/>
                <w:b/>
                <w:sz w:val="21"/>
                <w:szCs w:val="21"/>
              </w:rPr>
              <w:t>）</w:t>
            </w:r>
            <w:r w:rsidRPr="00F03BC3">
              <w:rPr>
                <w:rFonts w:ascii="宋体" w:hAnsi="宋体" w:hint="eastAsia"/>
                <w:b/>
                <w:sz w:val="21"/>
                <w:szCs w:val="21"/>
              </w:rPr>
              <w:t>/</w:t>
            </w:r>
            <w:r w:rsidRPr="00F03BC3">
              <w:rPr>
                <w:rFonts w:ascii="宋体" w:hAnsi="宋体" w:hint="eastAsia"/>
                <w:b/>
                <w:sz w:val="21"/>
                <w:szCs w:val="21"/>
              </w:rPr>
              <w:t>持有期限（</w:t>
            </w:r>
            <w:r w:rsidRPr="00F03BC3">
              <w:rPr>
                <w:rFonts w:ascii="宋体" w:hAnsi="宋体" w:hint="eastAsia"/>
                <w:b/>
                <w:sz w:val="21"/>
                <w:szCs w:val="21"/>
              </w:rPr>
              <w:t>N</w:t>
            </w:r>
            <w:r w:rsidRPr="00F03BC3">
              <w:rPr>
                <w:rFonts w:ascii="宋体" w:hAnsi="宋体" w:hint="eastAsia"/>
                <w:b/>
                <w:sz w:val="21"/>
                <w:szCs w:val="21"/>
              </w:rPr>
              <w:t>）</w:t>
            </w:r>
          </w:p>
        </w:tc>
        <w:tc>
          <w:tcPr>
            <w:tcW w:w="1843" w:type="dxa"/>
            <w:tcBorders>
              <w:left w:val="nil"/>
              <w:bottom w:val="dotted" w:sz="4" w:space="0" w:color="auto"/>
              <w:right w:val="nil"/>
            </w:tcBorders>
          </w:tcPr>
          <w:p w:rsidR="00C02E1B" w:rsidRPr="00F03BC3" w:rsidRDefault="00DD1420" w:rsidP="0003056B">
            <w:pPr>
              <w:autoSpaceDE w:val="0"/>
              <w:autoSpaceDN w:val="0"/>
              <w:adjustRightInd w:val="0"/>
              <w:jc w:val="center"/>
              <w:rPr>
                <w:rFonts w:ascii="宋体" w:hAnsi="宋体"/>
                <w:b/>
                <w:sz w:val="21"/>
                <w:szCs w:val="21"/>
              </w:rPr>
            </w:pPr>
            <w:r w:rsidRPr="00F03BC3">
              <w:rPr>
                <w:rFonts w:ascii="宋体" w:hAnsi="宋体" w:hint="eastAsia"/>
                <w:b/>
                <w:sz w:val="21"/>
                <w:szCs w:val="21"/>
              </w:rPr>
              <w:t>收费方式</w:t>
            </w:r>
            <w:r w:rsidRPr="00F03BC3">
              <w:rPr>
                <w:rFonts w:ascii="宋体" w:hAnsi="宋体" w:hint="eastAsia"/>
                <w:b/>
                <w:sz w:val="21"/>
                <w:szCs w:val="21"/>
              </w:rPr>
              <w:t>/</w:t>
            </w:r>
            <w:r w:rsidRPr="00F03BC3">
              <w:rPr>
                <w:rFonts w:ascii="宋体" w:hAnsi="宋体" w:hint="eastAsia"/>
                <w:b/>
                <w:sz w:val="21"/>
                <w:szCs w:val="21"/>
              </w:rPr>
              <w:t>费率</w:t>
            </w:r>
          </w:p>
        </w:tc>
        <w:tc>
          <w:tcPr>
            <w:tcW w:w="2126" w:type="dxa"/>
            <w:tcBorders>
              <w:left w:val="nil"/>
              <w:bottom w:val="dotted" w:sz="4" w:space="0" w:color="auto"/>
              <w:right w:val="nil"/>
            </w:tcBorders>
          </w:tcPr>
          <w:p w:rsidR="00C02E1B" w:rsidRPr="00F03BC3" w:rsidRDefault="00DD1420" w:rsidP="0003056B">
            <w:pPr>
              <w:autoSpaceDE w:val="0"/>
              <w:autoSpaceDN w:val="0"/>
              <w:adjustRightInd w:val="0"/>
              <w:jc w:val="center"/>
              <w:rPr>
                <w:rFonts w:ascii="宋体" w:hAnsi="宋体"/>
                <w:b/>
                <w:sz w:val="21"/>
                <w:szCs w:val="21"/>
              </w:rPr>
            </w:pPr>
            <w:r w:rsidRPr="00F03BC3">
              <w:rPr>
                <w:rFonts w:ascii="宋体" w:hAnsi="宋体" w:hint="eastAsia"/>
                <w:b/>
                <w:sz w:val="21"/>
                <w:szCs w:val="21"/>
              </w:rPr>
              <w:t>备注</w:t>
            </w:r>
          </w:p>
        </w:tc>
      </w:tr>
      <w:tr w:rsidR="009C0C41" w:rsidRPr="00335FE8" w:rsidTr="009C0C41">
        <w:trPr>
          <w:jc w:val="center"/>
        </w:trPr>
        <w:tc>
          <w:tcPr>
            <w:tcW w:w="2930" w:type="dxa"/>
            <w:vMerge w:val="restart"/>
            <w:vAlign w:val="center"/>
          </w:tcPr>
          <w:p w:rsidR="009C0C41" w:rsidRPr="00335FE8" w:rsidRDefault="009C0C41" w:rsidP="00D373CC">
            <w:pPr>
              <w:widowControl/>
              <w:jc w:val="left"/>
              <w:rPr>
                <w:rFonts w:ascii="宋体" w:eastAsia="宋体" w:hAnsi="宋体" w:cs="宋体"/>
                <w:b/>
                <w:kern w:val="0"/>
                <w:sz w:val="21"/>
                <w:szCs w:val="21"/>
              </w:rPr>
            </w:pPr>
            <w:r w:rsidRPr="00335FE8">
              <w:rPr>
                <w:rFonts w:ascii="宋体" w:eastAsia="宋体" w:hAnsi="宋体" w:cs="宋体" w:hint="eastAsia"/>
                <w:b/>
                <w:kern w:val="0"/>
                <w:sz w:val="21"/>
                <w:szCs w:val="21"/>
              </w:rPr>
              <w:t>申购费（前收费）</w:t>
            </w: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M＜100万元</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1.20%</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300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100万元≤M＜300万元</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1.00%</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300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300万元≤M＜500万元</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0.60%</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300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500万元≤M</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1000元每笔</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2930" w:type="dxa"/>
            <w:vMerge w:val="restart"/>
            <w:vAlign w:val="center"/>
          </w:tcPr>
          <w:p w:rsidR="009C0C41" w:rsidRPr="00335FE8" w:rsidRDefault="009C0C41" w:rsidP="00D373CC">
            <w:pPr>
              <w:widowControl/>
              <w:jc w:val="left"/>
              <w:rPr>
                <w:rFonts w:ascii="宋体" w:eastAsia="宋体" w:hAnsi="宋体" w:cs="宋体"/>
                <w:b/>
                <w:kern w:val="0"/>
                <w:sz w:val="21"/>
                <w:szCs w:val="21"/>
              </w:rPr>
            </w:pPr>
            <w:r w:rsidRPr="00335FE8">
              <w:rPr>
                <w:rFonts w:ascii="宋体" w:eastAsia="宋体" w:hAnsi="宋体" w:cs="宋体" w:hint="eastAsia"/>
                <w:b/>
                <w:kern w:val="0"/>
                <w:sz w:val="21"/>
                <w:szCs w:val="21"/>
              </w:rPr>
              <w:t>赎回费</w:t>
            </w: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N＜7天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1.50%</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7天≤N＜30天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0.75%</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30天≤N＜365天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0.50%</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365天≤N＜730天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0.30%</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730天≤N</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w:t>
            </w:r>
          </w:p>
        </w:tc>
        <w:tc>
          <w:tcPr>
            <w:tcW w:w="1843" w:type="dxa"/>
            <w:vAlign w:val="center"/>
          </w:tcPr>
          <w:p w:rsidR="009C0C41" w:rsidRPr="00335FE8" w:rsidRDefault="009C0C41" w:rsidP="00D373CC">
            <w:pPr>
              <w:rPr>
                <w:rFonts w:ascii="宋体" w:eastAsia="宋体" w:hAnsi="宋体" w:cs="宋体"/>
                <w:sz w:val="21"/>
                <w:szCs w:val="21"/>
              </w:rPr>
            </w:pPr>
          </w:p>
        </w:tc>
      </w:tr>
    </w:tbl>
    <w:p w:rsidR="00A16361" w:rsidRDefault="00A16361">
      <w:pPr>
        <w:jc w:val="right"/>
      </w:pPr>
    </w:p>
    <w:p w:rsidR="00D373CC" w:rsidRPr="00335FE8" w:rsidRDefault="00D373CC" w:rsidP="00D373CC">
      <w:pPr>
        <w:jc w:val="center"/>
        <w:rPr>
          <w:rFonts w:ascii="宋体" w:eastAsia="宋体" w:hAnsi="宋体" w:cs="宋体"/>
          <w:sz w:val="21"/>
          <w:szCs w:val="21"/>
        </w:rPr>
      </w:pPr>
      <w:r w:rsidRPr="00335FE8">
        <w:rPr>
          <w:rFonts w:ascii="宋体" w:hAnsi="宋体" w:hint="eastAsia"/>
          <w:b/>
          <w:sz w:val="21"/>
          <w:szCs w:val="21"/>
        </w:rPr>
        <w:t>银华巨潮小盘价值ETF发起式联接C</w:t>
      </w:r>
    </w:p>
    <w:tbl>
      <w:tblPr>
        <w:tblStyle w:val="a8"/>
        <w:tblW w:w="9308"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930"/>
        <w:gridCol w:w="2409"/>
        <w:gridCol w:w="1843"/>
        <w:gridCol w:w="2126"/>
      </w:tblGrid>
      <w:tr w:rsidR="00C02E1B" w:rsidRPr="00943B76" w:rsidTr="00AE7CEB">
        <w:trPr>
          <w:jc w:val="center"/>
        </w:trPr>
        <w:tc>
          <w:tcPr>
            <w:tcW w:w="2930" w:type="dxa"/>
            <w:tcBorders>
              <w:left w:val="nil"/>
              <w:bottom w:val="dotted" w:sz="4" w:space="0" w:color="auto"/>
              <w:right w:val="nil"/>
            </w:tcBorders>
          </w:tcPr>
          <w:p w:rsidR="00C02E1B" w:rsidRPr="00F03BC3" w:rsidRDefault="00DD1420" w:rsidP="0003056B">
            <w:pPr>
              <w:autoSpaceDE w:val="0"/>
              <w:autoSpaceDN w:val="0"/>
              <w:adjustRightInd w:val="0"/>
              <w:jc w:val="center"/>
              <w:rPr>
                <w:rFonts w:ascii="宋体" w:hAnsi="宋体"/>
                <w:b/>
                <w:sz w:val="21"/>
                <w:szCs w:val="21"/>
              </w:rPr>
            </w:pPr>
            <w:r w:rsidRPr="00F03BC3">
              <w:rPr>
                <w:rFonts w:ascii="宋体" w:hAnsi="宋体" w:hint="eastAsia"/>
                <w:b/>
                <w:sz w:val="21"/>
                <w:szCs w:val="21"/>
              </w:rPr>
              <w:t>费用类型</w:t>
            </w:r>
          </w:p>
        </w:tc>
        <w:tc>
          <w:tcPr>
            <w:tcW w:w="2409" w:type="dxa"/>
            <w:tcBorders>
              <w:left w:val="nil"/>
              <w:bottom w:val="dotted" w:sz="4" w:space="0" w:color="auto"/>
              <w:right w:val="nil"/>
            </w:tcBorders>
          </w:tcPr>
          <w:p w:rsidR="00C02E1B" w:rsidRPr="00F03BC3" w:rsidRDefault="00DD1420" w:rsidP="0003056B">
            <w:pPr>
              <w:autoSpaceDE w:val="0"/>
              <w:autoSpaceDN w:val="0"/>
              <w:adjustRightInd w:val="0"/>
              <w:jc w:val="center"/>
              <w:rPr>
                <w:rFonts w:ascii="宋体" w:hAnsi="宋体"/>
                <w:b/>
                <w:sz w:val="21"/>
                <w:szCs w:val="21"/>
              </w:rPr>
            </w:pPr>
            <w:r w:rsidRPr="00F03BC3">
              <w:rPr>
                <w:rFonts w:ascii="宋体" w:hAnsi="宋体" w:hint="eastAsia"/>
                <w:b/>
                <w:sz w:val="21"/>
                <w:szCs w:val="21"/>
              </w:rPr>
              <w:t>份额（</w:t>
            </w:r>
            <w:r w:rsidRPr="00F03BC3">
              <w:rPr>
                <w:rFonts w:ascii="宋体" w:hAnsi="宋体" w:hint="eastAsia"/>
                <w:b/>
                <w:sz w:val="21"/>
                <w:szCs w:val="21"/>
              </w:rPr>
              <w:t>S</w:t>
            </w:r>
            <w:r w:rsidRPr="00F03BC3">
              <w:rPr>
                <w:rFonts w:ascii="宋体" w:hAnsi="宋体" w:hint="eastAsia"/>
                <w:b/>
                <w:sz w:val="21"/>
                <w:szCs w:val="21"/>
              </w:rPr>
              <w:t>）或金额（</w:t>
            </w:r>
            <w:r w:rsidRPr="00F03BC3">
              <w:rPr>
                <w:rFonts w:ascii="宋体" w:hAnsi="宋体" w:hint="eastAsia"/>
                <w:b/>
                <w:sz w:val="21"/>
                <w:szCs w:val="21"/>
              </w:rPr>
              <w:t>M</w:t>
            </w:r>
            <w:r w:rsidRPr="00F03BC3">
              <w:rPr>
                <w:rFonts w:ascii="宋体" w:hAnsi="宋体" w:hint="eastAsia"/>
                <w:b/>
                <w:sz w:val="21"/>
                <w:szCs w:val="21"/>
              </w:rPr>
              <w:t>）</w:t>
            </w:r>
            <w:r w:rsidRPr="00F03BC3">
              <w:rPr>
                <w:rFonts w:ascii="宋体" w:hAnsi="宋体" w:hint="eastAsia"/>
                <w:b/>
                <w:sz w:val="21"/>
                <w:szCs w:val="21"/>
              </w:rPr>
              <w:t>/</w:t>
            </w:r>
            <w:r w:rsidRPr="00F03BC3">
              <w:rPr>
                <w:rFonts w:ascii="宋体" w:hAnsi="宋体" w:hint="eastAsia"/>
                <w:b/>
                <w:sz w:val="21"/>
                <w:szCs w:val="21"/>
              </w:rPr>
              <w:t>持有期限（</w:t>
            </w:r>
            <w:r w:rsidRPr="00F03BC3">
              <w:rPr>
                <w:rFonts w:ascii="宋体" w:hAnsi="宋体" w:hint="eastAsia"/>
                <w:b/>
                <w:sz w:val="21"/>
                <w:szCs w:val="21"/>
              </w:rPr>
              <w:t>N</w:t>
            </w:r>
            <w:r w:rsidRPr="00F03BC3">
              <w:rPr>
                <w:rFonts w:ascii="宋体" w:hAnsi="宋体" w:hint="eastAsia"/>
                <w:b/>
                <w:sz w:val="21"/>
                <w:szCs w:val="21"/>
              </w:rPr>
              <w:t>）</w:t>
            </w:r>
          </w:p>
        </w:tc>
        <w:tc>
          <w:tcPr>
            <w:tcW w:w="1843" w:type="dxa"/>
            <w:tcBorders>
              <w:left w:val="nil"/>
              <w:bottom w:val="dotted" w:sz="4" w:space="0" w:color="auto"/>
              <w:right w:val="nil"/>
            </w:tcBorders>
          </w:tcPr>
          <w:p w:rsidR="00C02E1B" w:rsidRPr="00F03BC3" w:rsidRDefault="00DD1420" w:rsidP="0003056B">
            <w:pPr>
              <w:autoSpaceDE w:val="0"/>
              <w:autoSpaceDN w:val="0"/>
              <w:adjustRightInd w:val="0"/>
              <w:jc w:val="center"/>
              <w:rPr>
                <w:rFonts w:ascii="宋体" w:hAnsi="宋体"/>
                <w:b/>
                <w:sz w:val="21"/>
                <w:szCs w:val="21"/>
              </w:rPr>
            </w:pPr>
            <w:r w:rsidRPr="00F03BC3">
              <w:rPr>
                <w:rFonts w:ascii="宋体" w:hAnsi="宋体" w:hint="eastAsia"/>
                <w:b/>
                <w:sz w:val="21"/>
                <w:szCs w:val="21"/>
              </w:rPr>
              <w:t>收费方式</w:t>
            </w:r>
            <w:r w:rsidRPr="00F03BC3">
              <w:rPr>
                <w:rFonts w:ascii="宋体" w:hAnsi="宋体" w:hint="eastAsia"/>
                <w:b/>
                <w:sz w:val="21"/>
                <w:szCs w:val="21"/>
              </w:rPr>
              <w:t>/</w:t>
            </w:r>
            <w:r w:rsidRPr="00F03BC3">
              <w:rPr>
                <w:rFonts w:ascii="宋体" w:hAnsi="宋体" w:hint="eastAsia"/>
                <w:b/>
                <w:sz w:val="21"/>
                <w:szCs w:val="21"/>
              </w:rPr>
              <w:t>费率</w:t>
            </w:r>
          </w:p>
        </w:tc>
        <w:tc>
          <w:tcPr>
            <w:tcW w:w="2126" w:type="dxa"/>
            <w:tcBorders>
              <w:left w:val="nil"/>
              <w:bottom w:val="dotted" w:sz="4" w:space="0" w:color="auto"/>
              <w:right w:val="nil"/>
            </w:tcBorders>
          </w:tcPr>
          <w:p w:rsidR="00C02E1B" w:rsidRPr="00F03BC3" w:rsidRDefault="00DD1420" w:rsidP="0003056B">
            <w:pPr>
              <w:autoSpaceDE w:val="0"/>
              <w:autoSpaceDN w:val="0"/>
              <w:adjustRightInd w:val="0"/>
              <w:jc w:val="center"/>
              <w:rPr>
                <w:rFonts w:ascii="宋体" w:hAnsi="宋体"/>
                <w:b/>
                <w:sz w:val="21"/>
                <w:szCs w:val="21"/>
              </w:rPr>
            </w:pPr>
            <w:r w:rsidRPr="00F03BC3">
              <w:rPr>
                <w:rFonts w:ascii="宋体" w:hAnsi="宋体" w:hint="eastAsia"/>
                <w:b/>
                <w:sz w:val="21"/>
                <w:szCs w:val="21"/>
              </w:rPr>
              <w:t>备注</w:t>
            </w:r>
          </w:p>
        </w:tc>
      </w:tr>
      <w:tr w:rsidR="009C0C41" w:rsidRPr="00335FE8" w:rsidTr="009C0C41">
        <w:trPr>
          <w:jc w:val="center"/>
        </w:trPr>
        <w:tc>
          <w:tcPr>
            <w:tcW w:w="2930" w:type="dxa"/>
            <w:vMerge w:val="restart"/>
            <w:vAlign w:val="center"/>
          </w:tcPr>
          <w:p w:rsidR="009C0C41" w:rsidRPr="00335FE8" w:rsidRDefault="009C0C41" w:rsidP="00D373CC">
            <w:pPr>
              <w:widowControl/>
              <w:jc w:val="left"/>
              <w:rPr>
                <w:rFonts w:ascii="宋体" w:eastAsia="宋体" w:hAnsi="宋体" w:cs="宋体"/>
                <w:b/>
                <w:kern w:val="0"/>
                <w:sz w:val="21"/>
                <w:szCs w:val="21"/>
              </w:rPr>
            </w:pPr>
            <w:r w:rsidRPr="00335FE8">
              <w:rPr>
                <w:rFonts w:ascii="宋体" w:eastAsia="宋体" w:hAnsi="宋体" w:cs="宋体" w:hint="eastAsia"/>
                <w:b/>
                <w:kern w:val="0"/>
                <w:sz w:val="21"/>
                <w:szCs w:val="21"/>
              </w:rPr>
              <w:t>赎回费</w:t>
            </w: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N＜7天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1.50%</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7天≤N</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0.00%</w:t>
            </w:r>
          </w:p>
        </w:tc>
        <w:tc>
          <w:tcPr>
            <w:tcW w:w="1843" w:type="dxa"/>
            <w:vAlign w:val="center"/>
          </w:tcPr>
          <w:p w:rsidR="009C0C41" w:rsidRPr="00335FE8" w:rsidRDefault="009C0C41" w:rsidP="00D373CC">
            <w:pPr>
              <w:rPr>
                <w:rFonts w:ascii="宋体" w:eastAsia="宋体" w:hAnsi="宋体" w:cs="宋体"/>
                <w:sz w:val="21"/>
                <w:szCs w:val="21"/>
              </w:rPr>
            </w:pPr>
          </w:p>
        </w:tc>
      </w:tr>
    </w:tbl>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（二）基金运作相关费用</w:t>
      </w:r>
    </w:p>
    <w:p w:rsidR="00D373CC" w:rsidRPr="00335FE8" w:rsidRDefault="00D373CC" w:rsidP="00D373CC">
      <w:pPr>
        <w:jc w:val="left"/>
        <w:rPr>
          <w:rFonts w:ascii="宋体" w:eastAsia="宋体" w:hAnsi="宋体" w:cs="宋体"/>
          <w:kern w:val="0"/>
          <w:sz w:val="21"/>
          <w:szCs w:val="21"/>
        </w:rPr>
      </w:pPr>
      <w:r w:rsidRPr="00335FE8">
        <w:rPr>
          <w:rFonts w:ascii="宋体" w:eastAsia="宋体" w:hAnsi="宋体" w:cs="宋体" w:hint="eastAsia"/>
          <w:kern w:val="0"/>
          <w:sz w:val="21"/>
          <w:szCs w:val="21"/>
        </w:rPr>
        <w:t>以下费用将从基金资产中扣除：</w:t>
      </w:r>
    </w:p>
    <w:tbl>
      <w:tblPr>
        <w:tblW w:w="93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268"/>
        <w:gridCol w:w="6047"/>
      </w:tblGrid>
      <w:tr w:rsidR="00143453" w:rsidRPr="00943B76" w:rsidTr="00537D02">
        <w:tc>
          <w:tcPr>
            <w:tcW w:w="3261" w:type="dxa"/>
            <w:gridSpan w:val="2"/>
            <w:tcBorders>
              <w:top w:val="single" w:sz="4" w:space="0" w:color="auto"/>
            </w:tcBorders>
          </w:tcPr>
          <w:p w:rsidR="00143453" w:rsidRPr="00F03BC3" w:rsidRDefault="00DD1420" w:rsidP="0003056B">
            <w:pPr>
              <w:autoSpaceDE w:val="0"/>
              <w:autoSpaceDN w:val="0"/>
              <w:adjustRightInd w:val="0"/>
              <w:rPr>
                <w:rFonts w:ascii="宋体" w:hAnsi="宋体"/>
                <w:b/>
                <w:sz w:val="21"/>
                <w:szCs w:val="21"/>
              </w:rPr>
            </w:pPr>
            <w:r w:rsidRPr="00F03BC3">
              <w:rPr>
                <w:rFonts w:ascii="宋体" w:hAnsi="宋体" w:hint="eastAsia"/>
                <w:b/>
                <w:sz w:val="21"/>
                <w:szCs w:val="21"/>
              </w:rPr>
              <w:t>费用类别</w:t>
            </w:r>
          </w:p>
        </w:tc>
        <w:tc>
          <w:tcPr>
            <w:tcW w:w="6047" w:type="dxa"/>
            <w:tcBorders>
              <w:top w:val="single" w:sz="4" w:space="0" w:color="auto"/>
            </w:tcBorders>
          </w:tcPr>
          <w:p w:rsidR="00143453" w:rsidRPr="00F03BC3" w:rsidRDefault="00DD1420" w:rsidP="0003056B">
            <w:pPr>
              <w:autoSpaceDE w:val="0"/>
              <w:autoSpaceDN w:val="0"/>
              <w:adjustRightInd w:val="0"/>
              <w:jc w:val="center"/>
              <w:rPr>
                <w:rFonts w:ascii="宋体" w:hAnsi="宋体"/>
                <w:b/>
                <w:sz w:val="21"/>
                <w:szCs w:val="21"/>
              </w:rPr>
            </w:pPr>
            <w:r w:rsidRPr="00F03BC3">
              <w:rPr>
                <w:rFonts w:ascii="宋体" w:hAnsi="宋体" w:hint="eastAsia"/>
                <w:b/>
                <w:sz w:val="21"/>
                <w:szCs w:val="21"/>
              </w:rPr>
              <w:t>收费方式</w:t>
            </w:r>
            <w:r w:rsidRPr="00F03BC3">
              <w:rPr>
                <w:rFonts w:ascii="宋体" w:hAnsi="宋体" w:hint="eastAsia"/>
                <w:b/>
                <w:sz w:val="21"/>
                <w:szCs w:val="21"/>
              </w:rPr>
              <w:t>/</w:t>
            </w:r>
            <w:r w:rsidRPr="00F03BC3">
              <w:rPr>
                <w:rFonts w:ascii="宋体" w:hAnsi="宋体" w:hint="eastAsia"/>
                <w:b/>
                <w:sz w:val="21"/>
                <w:szCs w:val="21"/>
              </w:rPr>
              <w:t>年费率</w:t>
            </w:r>
          </w:p>
        </w:tc>
      </w:tr>
      <w:tr w:rsidR="00C9008A" w:rsidRPr="00943B76" w:rsidTr="00537D02">
        <w:tc>
          <w:tcPr>
            <w:tcW w:w="3261" w:type="dxa"/>
            <w:gridSpan w:val="2"/>
            <w:vAlign w:val="center"/>
          </w:tcPr>
          <w:p w:rsidR="00C9008A" w:rsidRPr="00F03BC3" w:rsidRDefault="00DD1420" w:rsidP="0003056B">
            <w:pPr>
              <w:autoSpaceDE w:val="0"/>
              <w:autoSpaceDN w:val="0"/>
              <w:adjustRightInd w:val="0"/>
              <w:rPr>
                <w:rFonts w:ascii="宋体" w:hAnsi="宋体"/>
                <w:b/>
                <w:sz w:val="21"/>
                <w:szCs w:val="21"/>
              </w:rPr>
            </w:pPr>
            <w:r w:rsidRPr="00F03BC3">
              <w:rPr>
                <w:rFonts w:ascii="宋体" w:hAnsi="宋体" w:hint="eastAsia"/>
                <w:b/>
                <w:sz w:val="21"/>
                <w:szCs w:val="21"/>
              </w:rPr>
              <w:t>管理费</w:t>
            </w:r>
          </w:p>
        </w:tc>
        <w:tc>
          <w:tcPr>
            <w:tcW w:w="6047" w:type="dxa"/>
          </w:tcPr>
          <w:p w:rsidR="00C9008A" w:rsidRPr="00943B76" w:rsidRDefault="00DD1420" w:rsidP="00C9008A">
            <w:pPr>
              <w:autoSpaceDE w:val="0"/>
              <w:autoSpaceDN w:val="0"/>
              <w:adjustRightInd w:val="0"/>
              <w:jc w:val="center"/>
              <w:rPr>
                <w:rFonts w:ascii="宋体" w:hAnsi="宋体"/>
                <w:sz w:val="21"/>
                <w:szCs w:val="21"/>
              </w:rPr>
            </w:pPr>
            <w:r>
              <w:rPr>
                <w:rFonts w:ascii="宋体" w:hAnsi="宋体"/>
                <w:sz w:val="21"/>
                <w:szCs w:val="21"/>
              </w:rPr>
              <w:t>0.50%</w:t>
            </w:r>
          </w:p>
        </w:tc>
      </w:tr>
      <w:tr w:rsidR="00C9008A" w:rsidRPr="00943B76" w:rsidTr="00537D02">
        <w:tc>
          <w:tcPr>
            <w:tcW w:w="3261" w:type="dxa"/>
            <w:gridSpan w:val="2"/>
            <w:vAlign w:val="center"/>
          </w:tcPr>
          <w:p w:rsidR="00C9008A" w:rsidRPr="00F03BC3" w:rsidRDefault="00DD1420" w:rsidP="0003056B">
            <w:pPr>
              <w:autoSpaceDE w:val="0"/>
              <w:autoSpaceDN w:val="0"/>
              <w:adjustRightInd w:val="0"/>
              <w:rPr>
                <w:rFonts w:ascii="宋体" w:hAnsi="宋体"/>
                <w:b/>
                <w:sz w:val="21"/>
                <w:szCs w:val="21"/>
              </w:rPr>
            </w:pPr>
            <w:r w:rsidRPr="00F03BC3">
              <w:rPr>
                <w:rFonts w:ascii="宋体" w:hAnsi="宋体" w:hint="eastAsia"/>
                <w:b/>
                <w:sz w:val="21"/>
                <w:szCs w:val="21"/>
              </w:rPr>
              <w:t>托管费</w:t>
            </w:r>
          </w:p>
        </w:tc>
        <w:tc>
          <w:tcPr>
            <w:tcW w:w="6047" w:type="dxa"/>
          </w:tcPr>
          <w:p w:rsidR="00C9008A" w:rsidRPr="00943B76" w:rsidRDefault="00DD1420" w:rsidP="00C9008A">
            <w:pPr>
              <w:autoSpaceDE w:val="0"/>
              <w:autoSpaceDN w:val="0"/>
              <w:adjustRightInd w:val="0"/>
              <w:jc w:val="center"/>
              <w:rPr>
                <w:rFonts w:ascii="宋体" w:hAnsi="宋体"/>
                <w:sz w:val="21"/>
                <w:szCs w:val="21"/>
              </w:rPr>
            </w:pPr>
            <w:r>
              <w:rPr>
                <w:rFonts w:ascii="宋体" w:hAnsi="宋体"/>
                <w:sz w:val="21"/>
                <w:szCs w:val="21"/>
              </w:rPr>
              <w:t>0.10%</w:t>
            </w:r>
          </w:p>
        </w:tc>
      </w:tr>
      <w:tr w:rsidR="00C9008A" w:rsidRPr="00943B76" w:rsidTr="00537D02">
        <w:tc>
          <w:tcPr>
            <w:tcW w:w="993" w:type="dxa"/>
            <w:vMerge w:val="restart"/>
          </w:tcPr>
          <w:p w:rsidR="00C9008A" w:rsidRPr="00F03BC3" w:rsidRDefault="00DD1420" w:rsidP="0003056B">
            <w:pPr>
              <w:autoSpaceDE w:val="0"/>
              <w:autoSpaceDN w:val="0"/>
              <w:adjustRightInd w:val="0"/>
              <w:rPr>
                <w:rFonts w:ascii="宋体" w:hAnsi="宋体"/>
                <w:b/>
                <w:sz w:val="18"/>
                <w:szCs w:val="18"/>
              </w:rPr>
            </w:pPr>
            <w:r w:rsidRPr="00F03BC3">
              <w:rPr>
                <w:rFonts w:ascii="宋体" w:hAnsi="宋体" w:hint="eastAsia"/>
                <w:b/>
                <w:sz w:val="21"/>
                <w:szCs w:val="21"/>
              </w:rPr>
              <w:t>销售服务费</w:t>
            </w:r>
          </w:p>
        </w:tc>
        <w:tc>
          <w:tcPr>
            <w:tcW w:w="2268" w:type="dxa"/>
          </w:tcPr>
          <w:p w:rsidR="00C9008A" w:rsidRPr="00943B76" w:rsidRDefault="00DD1420" w:rsidP="0003056B">
            <w:pPr>
              <w:autoSpaceDE w:val="0"/>
              <w:autoSpaceDN w:val="0"/>
              <w:adjustRightInd w:val="0"/>
              <w:rPr>
                <w:rFonts w:ascii="宋体" w:hAnsi="宋体"/>
                <w:sz w:val="21"/>
                <w:szCs w:val="21"/>
              </w:rPr>
            </w:pPr>
            <w:r>
              <w:rPr>
                <w:rFonts w:ascii="宋体" w:hAnsi="宋体" w:hint="eastAsia"/>
                <w:sz w:val="21"/>
                <w:szCs w:val="21"/>
              </w:rPr>
              <w:t>银华巨潮小盘价值</w:t>
            </w:r>
            <w:r>
              <w:rPr>
                <w:rFonts w:ascii="宋体" w:hAnsi="宋体" w:hint="eastAsia"/>
                <w:sz w:val="21"/>
                <w:szCs w:val="21"/>
              </w:rPr>
              <w:t>ETF</w:t>
            </w:r>
            <w:r>
              <w:rPr>
                <w:rFonts w:ascii="宋体" w:hAnsi="宋体" w:hint="eastAsia"/>
                <w:sz w:val="21"/>
                <w:szCs w:val="21"/>
              </w:rPr>
              <w:t>发起式联接</w:t>
            </w:r>
            <w:r>
              <w:rPr>
                <w:rFonts w:ascii="宋体" w:hAnsi="宋体" w:hint="eastAsia"/>
                <w:sz w:val="21"/>
                <w:szCs w:val="21"/>
              </w:rPr>
              <w:t>A</w:t>
            </w:r>
          </w:p>
        </w:tc>
        <w:tc>
          <w:tcPr>
            <w:tcW w:w="6047" w:type="dxa"/>
          </w:tcPr>
          <w:p w:rsidR="00C9008A" w:rsidRPr="00943B76" w:rsidRDefault="00DD1420" w:rsidP="00C9008A">
            <w:pPr>
              <w:autoSpaceDE w:val="0"/>
              <w:autoSpaceDN w:val="0"/>
              <w:adjustRightInd w:val="0"/>
              <w:jc w:val="center"/>
              <w:rPr>
                <w:rFonts w:ascii="宋体" w:hAnsi="宋体"/>
                <w:sz w:val="21"/>
                <w:szCs w:val="21"/>
              </w:rPr>
            </w:pPr>
            <w:r>
              <w:rPr>
                <w:rFonts w:ascii="宋体" w:hAnsi="宋体"/>
                <w:sz w:val="21"/>
                <w:szCs w:val="21"/>
              </w:rPr>
              <w:t>-</w:t>
            </w:r>
          </w:p>
        </w:tc>
      </w:tr>
      <w:tr w:rsidR="00C9008A" w:rsidRPr="00943B76" w:rsidTr="00537D02">
        <w:tc>
          <w:tcPr>
            <w:tcW w:w="993" w:type="dxa"/>
            <w:vMerge/>
          </w:tcPr>
          <w:p w:rsidR="00C9008A" w:rsidRPr="007F5CF8" w:rsidRDefault="00DD1420" w:rsidP="0003056B">
            <w:pPr>
              <w:autoSpaceDE w:val="0"/>
              <w:autoSpaceDN w:val="0"/>
              <w:adjustRightInd w:val="0"/>
              <w:rPr>
                <w:rFonts w:ascii="宋体" w:hAnsi="宋体"/>
                <w:sz w:val="21"/>
                <w:szCs w:val="21"/>
              </w:rPr>
            </w:pPr>
          </w:p>
        </w:tc>
        <w:tc>
          <w:tcPr>
            <w:tcW w:w="2268" w:type="dxa"/>
          </w:tcPr>
          <w:p w:rsidR="00C9008A" w:rsidRPr="00943B76" w:rsidRDefault="00DD1420" w:rsidP="0003056B">
            <w:pPr>
              <w:autoSpaceDE w:val="0"/>
              <w:autoSpaceDN w:val="0"/>
              <w:adjustRightInd w:val="0"/>
              <w:rPr>
                <w:rFonts w:ascii="宋体" w:hAnsi="宋体"/>
                <w:sz w:val="21"/>
                <w:szCs w:val="21"/>
              </w:rPr>
            </w:pPr>
            <w:r>
              <w:rPr>
                <w:rFonts w:ascii="宋体" w:hAnsi="宋体" w:hint="eastAsia"/>
                <w:sz w:val="21"/>
                <w:szCs w:val="21"/>
              </w:rPr>
              <w:t>银华巨潮小盘价值</w:t>
            </w:r>
            <w:r>
              <w:rPr>
                <w:rFonts w:ascii="宋体" w:hAnsi="宋体" w:hint="eastAsia"/>
                <w:sz w:val="21"/>
                <w:szCs w:val="21"/>
              </w:rPr>
              <w:t>ETF</w:t>
            </w:r>
            <w:r>
              <w:rPr>
                <w:rFonts w:ascii="宋体" w:hAnsi="宋体" w:hint="eastAsia"/>
                <w:sz w:val="21"/>
                <w:szCs w:val="21"/>
              </w:rPr>
              <w:t>发起式联接</w:t>
            </w:r>
            <w:r>
              <w:rPr>
                <w:rFonts w:ascii="宋体" w:hAnsi="宋体" w:hint="eastAsia"/>
                <w:sz w:val="21"/>
                <w:szCs w:val="21"/>
              </w:rPr>
              <w:t>C</w:t>
            </w:r>
          </w:p>
        </w:tc>
        <w:tc>
          <w:tcPr>
            <w:tcW w:w="6047" w:type="dxa"/>
          </w:tcPr>
          <w:p w:rsidR="00C9008A" w:rsidRPr="00943B76" w:rsidRDefault="00DD1420" w:rsidP="00C9008A">
            <w:pPr>
              <w:autoSpaceDE w:val="0"/>
              <w:autoSpaceDN w:val="0"/>
              <w:adjustRightInd w:val="0"/>
              <w:jc w:val="center"/>
              <w:rPr>
                <w:rFonts w:ascii="宋体" w:hAnsi="宋体"/>
                <w:sz w:val="21"/>
                <w:szCs w:val="21"/>
              </w:rPr>
            </w:pPr>
            <w:r>
              <w:rPr>
                <w:rFonts w:ascii="宋体" w:hAnsi="宋体"/>
                <w:sz w:val="21"/>
                <w:szCs w:val="21"/>
              </w:rPr>
              <w:t>0.25%</w:t>
            </w:r>
          </w:p>
        </w:tc>
      </w:tr>
      <w:tr w:rsidR="00925EFB" w:rsidRPr="00943B76" w:rsidTr="00537D02">
        <w:tc>
          <w:tcPr>
            <w:tcW w:w="3261" w:type="dxa"/>
            <w:gridSpan w:val="2"/>
            <w:tcBorders>
              <w:bottom w:val="single" w:sz="4" w:space="0" w:color="auto"/>
            </w:tcBorders>
            <w:vAlign w:val="center"/>
          </w:tcPr>
          <w:p w:rsidR="00925EFB" w:rsidRPr="00F03BC3" w:rsidRDefault="00DD1420" w:rsidP="0003056B">
            <w:pPr>
              <w:autoSpaceDE w:val="0"/>
              <w:autoSpaceDN w:val="0"/>
              <w:adjustRightInd w:val="0"/>
              <w:rPr>
                <w:rFonts w:ascii="宋体" w:hAnsi="宋体"/>
                <w:b/>
                <w:sz w:val="21"/>
                <w:szCs w:val="21"/>
              </w:rPr>
            </w:pPr>
            <w:r>
              <w:rPr>
                <w:rFonts w:ascii="宋体" w:hAnsi="宋体"/>
                <w:b/>
                <w:sz w:val="21"/>
                <w:szCs w:val="21"/>
              </w:rPr>
              <w:t>其他费用</w:t>
            </w:r>
          </w:p>
        </w:tc>
        <w:tc>
          <w:tcPr>
            <w:tcW w:w="6047" w:type="dxa"/>
            <w:tcBorders>
              <w:bottom w:val="single" w:sz="4" w:space="0" w:color="auto"/>
            </w:tcBorders>
          </w:tcPr>
          <w:p w:rsidR="00925EFB" w:rsidRPr="00943B76" w:rsidRDefault="00DD1420" w:rsidP="00925EFB">
            <w:pPr>
              <w:autoSpaceDE w:val="0"/>
              <w:autoSpaceDN w:val="0"/>
              <w:adjustRightInd w:val="0"/>
              <w:jc w:val="center"/>
              <w:rPr>
                <w:rFonts w:ascii="宋体" w:hAnsi="宋体"/>
                <w:sz w:val="21"/>
                <w:szCs w:val="21"/>
              </w:rPr>
            </w:pPr>
            <w:r>
              <w:rPr>
                <w:rFonts w:ascii="宋体" w:hAnsi="宋体"/>
                <w:sz w:val="21"/>
                <w:szCs w:val="21"/>
              </w:rPr>
              <w:t>信息披露费、审计费等，详见本基金招募说明书</w:t>
            </w:r>
            <w:r>
              <w:rPr>
                <w:rFonts w:ascii="宋体" w:hAnsi="宋体"/>
                <w:sz w:val="21"/>
                <w:szCs w:val="21"/>
              </w:rPr>
              <w:t>“</w:t>
            </w:r>
            <w:r>
              <w:rPr>
                <w:rFonts w:ascii="宋体" w:hAnsi="宋体"/>
                <w:sz w:val="21"/>
                <w:szCs w:val="21"/>
              </w:rPr>
              <w:t>基金的费用与税收</w:t>
            </w:r>
            <w:r>
              <w:rPr>
                <w:rFonts w:ascii="宋体" w:hAnsi="宋体"/>
                <w:sz w:val="21"/>
                <w:szCs w:val="21"/>
              </w:rPr>
              <w:t>”</w:t>
            </w:r>
            <w:r>
              <w:rPr>
                <w:rFonts w:ascii="宋体" w:hAnsi="宋体"/>
                <w:sz w:val="21"/>
                <w:szCs w:val="21"/>
              </w:rPr>
              <w:t>章节。</w:t>
            </w:r>
          </w:p>
        </w:tc>
      </w:tr>
    </w:tbl>
    <w:p w:rsidR="00D373CC" w:rsidRPr="00335FE8" w:rsidRDefault="00F811C4" w:rsidP="00D373CC">
      <w:pPr>
        <w:jc w:val="left"/>
        <w:rPr>
          <w:rFonts w:ascii="宋体" w:eastAsia="宋体" w:hAnsi="宋体" w:cs="宋体"/>
          <w:sz w:val="21"/>
          <w:szCs w:val="21"/>
        </w:rPr>
      </w:pPr>
      <w:r w:rsidRPr="00335FE8">
        <w:rPr>
          <w:rFonts w:ascii="宋体" w:eastAsia="宋体" w:hAnsi="宋体" w:cs="宋体" w:hint="eastAsia"/>
          <w:b/>
          <w:sz w:val="21"/>
          <w:szCs w:val="21"/>
        </w:rPr>
        <w:t>注：</w:t>
      </w:r>
      <w:r w:rsidRPr="00335FE8">
        <w:rPr>
          <w:rFonts w:ascii="宋体" w:eastAsia="宋体" w:hAnsi="宋体" w:cs="宋体" w:hint="eastAsia"/>
          <w:sz w:val="21"/>
          <w:szCs w:val="21"/>
        </w:rPr>
        <w:t>本基金交易证券、基金等产生的费用和税负，按实际发生额从基金资产扣除。</w:t>
      </w:r>
    </w:p>
    <w:p w:rsidR="00A25588" w:rsidRPr="00D355FC" w:rsidRDefault="00DD1420" w:rsidP="0003056B">
      <w:pPr>
        <w:rPr>
          <w:rFonts w:ascii="宋体" w:hAnsi="宋体" w:cs="宋体"/>
          <w:b/>
          <w:iCs/>
          <w:sz w:val="21"/>
          <w:szCs w:val="21"/>
        </w:rPr>
      </w:pPr>
      <w:r w:rsidRPr="00D355FC">
        <w:rPr>
          <w:rFonts w:ascii="宋体" w:hAnsi="宋体" w:cs="宋体" w:hint="eastAsia"/>
          <w:b/>
          <w:iCs/>
          <w:sz w:val="21"/>
          <w:szCs w:val="21"/>
        </w:rPr>
        <w:t>四、风险揭示与重要提示</w:t>
      </w:r>
    </w:p>
    <w:p w:rsidR="00A25588" w:rsidRPr="00D355FC" w:rsidRDefault="00DD1420" w:rsidP="0003056B">
      <w:pPr>
        <w:rPr>
          <w:rFonts w:ascii="宋体" w:hAnsi="宋体" w:cs="宋体"/>
          <w:b/>
          <w:iCs/>
          <w:sz w:val="21"/>
          <w:szCs w:val="21"/>
        </w:rPr>
      </w:pPr>
      <w:r w:rsidRPr="00D355FC">
        <w:rPr>
          <w:rFonts w:ascii="宋体" w:hAnsi="宋体" w:cs="宋体" w:hint="eastAsia"/>
          <w:b/>
          <w:iCs/>
          <w:sz w:val="21"/>
          <w:szCs w:val="24"/>
        </w:rPr>
        <w:t>（一）风险揭示</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本基金不提供任何保证。投资者可能损失投资本金。</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投资有风险，投资者购买基金时应认真阅读本基金的《招募说明书》等销售文件。</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本基金投资于证券市场，基金净值会因为证券市场波动等因素产生波动，投资人在投资本基金前，需充分了解本基金的产品特性，充分考虑自身的风险承受能力，理性判断市场，对投资本基金的意愿、时机、数量等投资行为作出独立决策，并承担基金投资中出现的各类风险，包括市场风险、基金运作风险、本基金的特有风险、流动性风险及其它风险等。</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本基金的特有风险：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1</w:t>
      </w:r>
      <w:r>
        <w:rPr>
          <w:rFonts w:ascii="宋体" w:hAnsi="宋体" w:hint="eastAsia"/>
          <w:sz w:val="21"/>
          <w:szCs w:val="21"/>
        </w:rPr>
        <w:t>、联接基金风险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本基金为</w:t>
      </w:r>
      <w:r>
        <w:rPr>
          <w:rFonts w:ascii="宋体" w:hAnsi="宋体" w:hint="eastAsia"/>
          <w:sz w:val="21"/>
          <w:szCs w:val="21"/>
        </w:rPr>
        <w:t>ETF</w:t>
      </w:r>
      <w:r>
        <w:rPr>
          <w:rFonts w:ascii="宋体" w:hAnsi="宋体" w:hint="eastAsia"/>
          <w:sz w:val="21"/>
          <w:szCs w:val="21"/>
        </w:rPr>
        <w:t>联接基金，基金资产主要投资于目标</w:t>
      </w:r>
      <w:r>
        <w:rPr>
          <w:rFonts w:ascii="宋体" w:hAnsi="宋体" w:hint="eastAsia"/>
          <w:sz w:val="21"/>
          <w:szCs w:val="21"/>
        </w:rPr>
        <w:t>ETF</w:t>
      </w:r>
      <w:r>
        <w:rPr>
          <w:rFonts w:ascii="宋体" w:hAnsi="宋体" w:hint="eastAsia"/>
          <w:sz w:val="21"/>
          <w:szCs w:val="21"/>
        </w:rPr>
        <w:t>，在多数情况下将维持较高的目标</w:t>
      </w:r>
      <w:r>
        <w:rPr>
          <w:rFonts w:ascii="宋体" w:hAnsi="宋体" w:hint="eastAsia"/>
          <w:sz w:val="21"/>
          <w:szCs w:val="21"/>
        </w:rPr>
        <w:t>ETF</w:t>
      </w:r>
      <w:r>
        <w:rPr>
          <w:rFonts w:ascii="宋体" w:hAnsi="宋体" w:hint="eastAsia"/>
          <w:sz w:val="21"/>
          <w:szCs w:val="21"/>
        </w:rPr>
        <w:t>投资比例，基金净值可能会随目标</w:t>
      </w:r>
      <w:r>
        <w:rPr>
          <w:rFonts w:ascii="宋体" w:hAnsi="宋体" w:hint="eastAsia"/>
          <w:sz w:val="21"/>
          <w:szCs w:val="21"/>
        </w:rPr>
        <w:t>ETF</w:t>
      </w:r>
      <w:r>
        <w:rPr>
          <w:rFonts w:ascii="宋体" w:hAnsi="宋体" w:hint="eastAsia"/>
          <w:sz w:val="21"/>
          <w:szCs w:val="21"/>
        </w:rPr>
        <w:t>的净值波动而波动，目标</w:t>
      </w:r>
      <w:r>
        <w:rPr>
          <w:rFonts w:ascii="宋体" w:hAnsi="宋体" w:hint="eastAsia"/>
          <w:sz w:val="21"/>
          <w:szCs w:val="21"/>
        </w:rPr>
        <w:t>ETF</w:t>
      </w:r>
      <w:r>
        <w:rPr>
          <w:rFonts w:ascii="宋体" w:hAnsi="宋体" w:hint="eastAsia"/>
          <w:sz w:val="21"/>
          <w:szCs w:val="21"/>
        </w:rPr>
        <w:t>的相关风</w:t>
      </w:r>
      <w:r>
        <w:rPr>
          <w:rFonts w:ascii="宋体" w:hAnsi="宋体" w:hint="eastAsia"/>
          <w:sz w:val="21"/>
          <w:szCs w:val="21"/>
        </w:rPr>
        <w:t>险可能直接或间接成为本基金的风险。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目标</w:t>
      </w:r>
      <w:r>
        <w:rPr>
          <w:rFonts w:ascii="宋体" w:hAnsi="宋体" w:hint="eastAsia"/>
          <w:sz w:val="21"/>
          <w:szCs w:val="21"/>
        </w:rPr>
        <w:t>ETF</w:t>
      </w:r>
      <w:r>
        <w:rPr>
          <w:rFonts w:ascii="宋体" w:hAnsi="宋体" w:hint="eastAsia"/>
          <w:sz w:val="21"/>
          <w:szCs w:val="21"/>
        </w:rPr>
        <w:t>的风险包括但不限于：</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1</w:t>
      </w:r>
      <w:r>
        <w:rPr>
          <w:rFonts w:ascii="宋体" w:hAnsi="宋体" w:hint="eastAsia"/>
          <w:sz w:val="21"/>
          <w:szCs w:val="21"/>
        </w:rPr>
        <w:t>）跟踪误差控制未达约定目标的风险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标的指数成份股发生配股或增发等行为导致成份股在标的指数中的权重发生变化、成份股派发现金红利、新股市值配售、成份股停牌或摘牌、部分成份股流动性差等原因使目标</w:t>
      </w:r>
      <w:r>
        <w:rPr>
          <w:rFonts w:ascii="宋体" w:hAnsi="宋体" w:hint="eastAsia"/>
          <w:sz w:val="21"/>
          <w:szCs w:val="21"/>
        </w:rPr>
        <w:t>ETF</w:t>
      </w:r>
      <w:r>
        <w:rPr>
          <w:rFonts w:ascii="宋体" w:hAnsi="宋体" w:hint="eastAsia"/>
          <w:sz w:val="21"/>
          <w:szCs w:val="21"/>
        </w:rPr>
        <w:t>无法及时调整投资组合，极端情况下可能发生跟踪误差控制未达约定目标的风险。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2</w:t>
      </w:r>
      <w:r>
        <w:rPr>
          <w:rFonts w:ascii="宋体" w:hAnsi="宋体" w:hint="eastAsia"/>
          <w:sz w:val="21"/>
          <w:szCs w:val="21"/>
        </w:rPr>
        <w:t>）指数编制机构停止服务的风险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当指数编制机构被依法取消指数编制资格、依法解散、被依法撤销或被依法宣告破产时，将导致指数编制机构停止服务的风险。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3</w:t>
      </w:r>
      <w:r>
        <w:rPr>
          <w:rFonts w:ascii="宋体" w:hAnsi="宋体" w:hint="eastAsia"/>
          <w:sz w:val="21"/>
          <w:szCs w:val="21"/>
        </w:rPr>
        <w:t>）成份股停牌风险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目标</w:t>
      </w:r>
      <w:r>
        <w:rPr>
          <w:rFonts w:ascii="宋体" w:hAnsi="宋体" w:hint="eastAsia"/>
          <w:sz w:val="21"/>
          <w:szCs w:val="21"/>
        </w:rPr>
        <w:t>ETF</w:t>
      </w:r>
      <w:r>
        <w:rPr>
          <w:rFonts w:ascii="宋体" w:hAnsi="宋体" w:hint="eastAsia"/>
          <w:sz w:val="21"/>
          <w:szCs w:val="21"/>
        </w:rPr>
        <w:t>主要投资于标的指数成份股及备选成份股，当标的指数成份股停牌或发生明显负面事件面临退市时，可能出现导致目标</w:t>
      </w:r>
      <w:r>
        <w:rPr>
          <w:rFonts w:ascii="宋体" w:hAnsi="宋体" w:hint="eastAsia"/>
          <w:sz w:val="21"/>
          <w:szCs w:val="21"/>
        </w:rPr>
        <w:t>ETF</w:t>
      </w:r>
      <w:r>
        <w:rPr>
          <w:rFonts w:ascii="宋体" w:hAnsi="宋体" w:hint="eastAsia"/>
          <w:sz w:val="21"/>
          <w:szCs w:val="21"/>
        </w:rPr>
        <w:t>、本基金的跟踪偏离度和跟踪误差扩大的风险。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）标的指数不再符合要求的风险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跟踪的标的指数可能因为成份股临时调整或者定期调整后不再符合中国证监会相关要求，基金管理人将向指数编制机构提出修改要求，协商解决方案。如果基金管理人与指数编制机构无法就解决方案达成一致，则基金管理人在履行适当程序后，变更目标</w:t>
      </w:r>
      <w:r>
        <w:rPr>
          <w:rFonts w:ascii="宋体" w:hAnsi="宋体" w:hint="eastAsia"/>
          <w:sz w:val="21"/>
          <w:szCs w:val="21"/>
        </w:rPr>
        <w:t>ETF</w:t>
      </w:r>
      <w:r>
        <w:rPr>
          <w:rFonts w:ascii="宋体" w:hAnsi="宋体" w:hint="eastAsia"/>
          <w:sz w:val="21"/>
          <w:szCs w:val="21"/>
        </w:rPr>
        <w:t>、本基金的标的指数和基金名称，有可能对基金投资范围、投资策略等方面造成影响，影响投资收</w:t>
      </w:r>
      <w:r>
        <w:rPr>
          <w:rFonts w:ascii="宋体" w:hAnsi="宋体" w:hint="eastAsia"/>
          <w:sz w:val="21"/>
          <w:szCs w:val="21"/>
        </w:rPr>
        <w:t>益。</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2</w:t>
      </w:r>
      <w:r>
        <w:rPr>
          <w:rFonts w:ascii="宋体" w:hAnsi="宋体" w:hint="eastAsia"/>
          <w:sz w:val="21"/>
          <w:szCs w:val="21"/>
        </w:rPr>
        <w:t>、跟踪偏离风险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本基金主要投资于目标</w:t>
      </w:r>
      <w:r>
        <w:rPr>
          <w:rFonts w:ascii="宋体" w:hAnsi="宋体" w:hint="eastAsia"/>
          <w:sz w:val="21"/>
          <w:szCs w:val="21"/>
        </w:rPr>
        <w:t>ETF</w:t>
      </w:r>
      <w:r>
        <w:rPr>
          <w:rFonts w:ascii="宋体" w:hAnsi="宋体" w:hint="eastAsia"/>
          <w:sz w:val="21"/>
          <w:szCs w:val="21"/>
        </w:rPr>
        <w:t>基金份额，追求跟踪标的指数，获得与指数收益相似的回报。以下因素可能会影响到基金的投资组合与跟踪基准之间产生偏离：</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1</w:t>
      </w:r>
      <w:r>
        <w:rPr>
          <w:rFonts w:ascii="宋体" w:hAnsi="宋体" w:hint="eastAsia"/>
          <w:sz w:val="21"/>
          <w:szCs w:val="21"/>
        </w:rPr>
        <w:t>）目标</w:t>
      </w:r>
      <w:r>
        <w:rPr>
          <w:rFonts w:ascii="宋体" w:hAnsi="宋体" w:hint="eastAsia"/>
          <w:sz w:val="21"/>
          <w:szCs w:val="21"/>
        </w:rPr>
        <w:t>ETF</w:t>
      </w:r>
      <w:r>
        <w:rPr>
          <w:rFonts w:ascii="宋体" w:hAnsi="宋体" w:hint="eastAsia"/>
          <w:sz w:val="21"/>
          <w:szCs w:val="21"/>
        </w:rPr>
        <w:t>与标的指数的偏离。</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2</w:t>
      </w:r>
      <w:r>
        <w:rPr>
          <w:rFonts w:ascii="宋体" w:hAnsi="宋体" w:hint="eastAsia"/>
          <w:sz w:val="21"/>
          <w:szCs w:val="21"/>
        </w:rPr>
        <w:t>）基金买卖目标</w:t>
      </w:r>
      <w:r>
        <w:rPr>
          <w:rFonts w:ascii="宋体" w:hAnsi="宋体" w:hint="eastAsia"/>
          <w:sz w:val="21"/>
          <w:szCs w:val="21"/>
        </w:rPr>
        <w:t>ETF</w:t>
      </w:r>
      <w:r>
        <w:rPr>
          <w:rFonts w:ascii="宋体" w:hAnsi="宋体" w:hint="eastAsia"/>
          <w:sz w:val="21"/>
          <w:szCs w:val="21"/>
        </w:rPr>
        <w:t>时所产生的价格差异、交易成本和交易冲击。</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3</w:t>
      </w:r>
      <w:r>
        <w:rPr>
          <w:rFonts w:ascii="宋体" w:hAnsi="宋体" w:hint="eastAsia"/>
          <w:sz w:val="21"/>
          <w:szCs w:val="21"/>
        </w:rPr>
        <w:t>）基金调整资产配置结构时所产生的跟踪误差。</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）基金申购、赎回因素所产生的跟踪误差。</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5</w:t>
      </w:r>
      <w:r>
        <w:rPr>
          <w:rFonts w:ascii="宋体" w:hAnsi="宋体" w:hint="eastAsia"/>
          <w:sz w:val="21"/>
          <w:szCs w:val="21"/>
        </w:rPr>
        <w:t>）基金现金资产拖累所产生的跟踪误差。</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6</w:t>
      </w:r>
      <w:r>
        <w:rPr>
          <w:rFonts w:ascii="宋体" w:hAnsi="宋体" w:hint="eastAsia"/>
          <w:sz w:val="21"/>
          <w:szCs w:val="21"/>
        </w:rPr>
        <w:t>）基金的管理费和托管费所产生的跟踪误差。</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w:t>
      </w:r>
      <w:r>
        <w:rPr>
          <w:rFonts w:ascii="宋体" w:hAnsi="宋体" w:hint="eastAsia"/>
          <w:sz w:val="21"/>
          <w:szCs w:val="21"/>
        </w:rPr>
        <w:t>7</w:t>
      </w:r>
      <w:r>
        <w:rPr>
          <w:rFonts w:ascii="宋体" w:hAnsi="宋体" w:hint="eastAsia"/>
          <w:sz w:val="21"/>
          <w:szCs w:val="21"/>
        </w:rPr>
        <w:t>）其他因素所产生的偏差。</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3</w:t>
      </w:r>
      <w:r>
        <w:rPr>
          <w:rFonts w:ascii="宋体" w:hAnsi="宋体" w:hint="eastAsia"/>
          <w:sz w:val="21"/>
          <w:szCs w:val="21"/>
        </w:rPr>
        <w:t>、与目标</w:t>
      </w:r>
      <w:r>
        <w:rPr>
          <w:rFonts w:ascii="宋体" w:hAnsi="宋体" w:hint="eastAsia"/>
          <w:sz w:val="21"/>
          <w:szCs w:val="21"/>
        </w:rPr>
        <w:t>ETF</w:t>
      </w:r>
      <w:r>
        <w:rPr>
          <w:rFonts w:ascii="宋体" w:hAnsi="宋体" w:hint="eastAsia"/>
          <w:sz w:val="21"/>
          <w:szCs w:val="21"/>
        </w:rPr>
        <w:t>业绩差异的风险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本基金为目标</w:t>
      </w:r>
      <w:r>
        <w:rPr>
          <w:rFonts w:ascii="宋体" w:hAnsi="宋体" w:hint="eastAsia"/>
          <w:sz w:val="21"/>
          <w:szCs w:val="21"/>
        </w:rPr>
        <w:t>ETF</w:t>
      </w:r>
      <w:r>
        <w:rPr>
          <w:rFonts w:ascii="宋体" w:hAnsi="宋体" w:hint="eastAsia"/>
          <w:sz w:val="21"/>
          <w:szCs w:val="21"/>
        </w:rPr>
        <w:t>的联接基金，但由于投资方法、交易方式等方面与目标</w:t>
      </w:r>
      <w:r>
        <w:rPr>
          <w:rFonts w:ascii="宋体" w:hAnsi="宋体" w:hint="eastAsia"/>
          <w:sz w:val="21"/>
          <w:szCs w:val="21"/>
        </w:rPr>
        <w:t>ETF</w:t>
      </w:r>
      <w:r>
        <w:rPr>
          <w:rFonts w:ascii="宋体" w:hAnsi="宋体" w:hint="eastAsia"/>
          <w:sz w:val="21"/>
          <w:szCs w:val="21"/>
        </w:rPr>
        <w:t>不同，本基金的业绩表现与目标</w:t>
      </w:r>
      <w:r>
        <w:rPr>
          <w:rFonts w:ascii="宋体" w:hAnsi="宋体" w:hint="eastAsia"/>
          <w:sz w:val="21"/>
          <w:szCs w:val="21"/>
        </w:rPr>
        <w:t>ETF</w:t>
      </w:r>
      <w:r>
        <w:rPr>
          <w:rFonts w:ascii="宋体" w:hAnsi="宋体" w:hint="eastAsia"/>
          <w:sz w:val="21"/>
          <w:szCs w:val="21"/>
        </w:rPr>
        <w:t>的业绩表现可能出现差异。</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4</w:t>
      </w:r>
      <w:r>
        <w:rPr>
          <w:rFonts w:ascii="宋体" w:hAnsi="宋体" w:hint="eastAsia"/>
          <w:sz w:val="21"/>
          <w:szCs w:val="21"/>
        </w:rPr>
        <w:t>、其他投资于目标</w:t>
      </w:r>
      <w:r>
        <w:rPr>
          <w:rFonts w:ascii="宋体" w:hAnsi="宋体" w:hint="eastAsia"/>
          <w:sz w:val="21"/>
          <w:szCs w:val="21"/>
        </w:rPr>
        <w:t>ETF</w:t>
      </w:r>
      <w:r>
        <w:rPr>
          <w:rFonts w:ascii="宋体" w:hAnsi="宋体" w:hint="eastAsia"/>
          <w:sz w:val="21"/>
          <w:szCs w:val="21"/>
        </w:rPr>
        <w:t>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如目标</w:t>
      </w:r>
      <w:r>
        <w:rPr>
          <w:rFonts w:ascii="宋体" w:hAnsi="宋体" w:hint="eastAsia"/>
          <w:sz w:val="21"/>
          <w:szCs w:val="21"/>
        </w:rPr>
        <w:t>ETF</w:t>
      </w:r>
      <w:r>
        <w:rPr>
          <w:rFonts w:ascii="宋体" w:hAnsi="宋体" w:hint="eastAsia"/>
          <w:sz w:val="21"/>
          <w:szCs w:val="21"/>
        </w:rPr>
        <w:t>基金份额二级市场交易价格折溢价的风险、</w:t>
      </w:r>
      <w:r>
        <w:rPr>
          <w:rFonts w:ascii="宋体" w:hAnsi="宋体" w:hint="eastAsia"/>
          <w:sz w:val="21"/>
          <w:szCs w:val="21"/>
        </w:rPr>
        <w:t>ETF</w:t>
      </w:r>
      <w:r>
        <w:rPr>
          <w:rFonts w:ascii="宋体" w:hAnsi="宋体" w:hint="eastAsia"/>
          <w:sz w:val="21"/>
          <w:szCs w:val="21"/>
        </w:rPr>
        <w:t>参考</w:t>
      </w:r>
      <w:r>
        <w:rPr>
          <w:rFonts w:ascii="宋体" w:hAnsi="宋体" w:hint="eastAsia"/>
          <w:sz w:val="21"/>
          <w:szCs w:val="21"/>
        </w:rPr>
        <w:t>IOPV</w:t>
      </w:r>
      <w:r>
        <w:rPr>
          <w:rFonts w:ascii="宋体" w:hAnsi="宋体" w:hint="eastAsia"/>
          <w:sz w:val="21"/>
          <w:szCs w:val="21"/>
        </w:rPr>
        <w:t>决策和</w:t>
      </w:r>
      <w:r>
        <w:rPr>
          <w:rFonts w:ascii="宋体" w:hAnsi="宋体" w:hint="eastAsia"/>
          <w:sz w:val="21"/>
          <w:szCs w:val="21"/>
        </w:rPr>
        <w:t>IOPV</w:t>
      </w:r>
      <w:r>
        <w:rPr>
          <w:rFonts w:ascii="宋体" w:hAnsi="宋体" w:hint="eastAsia"/>
          <w:sz w:val="21"/>
          <w:szCs w:val="21"/>
        </w:rPr>
        <w:t>计算错误的风险、目标</w:t>
      </w:r>
      <w:r>
        <w:rPr>
          <w:rFonts w:ascii="宋体" w:hAnsi="宋体" w:hint="eastAsia"/>
          <w:sz w:val="21"/>
          <w:szCs w:val="21"/>
        </w:rPr>
        <w:t>ETF</w:t>
      </w:r>
      <w:r>
        <w:rPr>
          <w:rFonts w:ascii="宋体" w:hAnsi="宋体" w:hint="eastAsia"/>
          <w:sz w:val="21"/>
          <w:szCs w:val="21"/>
        </w:rPr>
        <w:t>退市风险、申购赎回失败风险等等。</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5</w:t>
      </w:r>
      <w:r>
        <w:rPr>
          <w:rFonts w:ascii="宋体" w:hAnsi="宋体" w:hint="eastAsia"/>
          <w:sz w:val="21"/>
          <w:szCs w:val="21"/>
        </w:rPr>
        <w:t>、投资股指期货的风险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6</w:t>
      </w:r>
      <w:r>
        <w:rPr>
          <w:rFonts w:ascii="宋体" w:hAnsi="宋体" w:hint="eastAsia"/>
          <w:sz w:val="21"/>
          <w:szCs w:val="21"/>
        </w:rPr>
        <w:t>、投资股票期权风险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7</w:t>
      </w:r>
      <w:r>
        <w:rPr>
          <w:rFonts w:ascii="宋体" w:hAnsi="宋体" w:hint="eastAsia"/>
          <w:sz w:val="21"/>
          <w:szCs w:val="21"/>
        </w:rPr>
        <w:t>、投资资产支持证券的风险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8</w:t>
      </w:r>
      <w:r>
        <w:rPr>
          <w:rFonts w:ascii="宋体" w:hAnsi="宋体" w:hint="eastAsia"/>
          <w:sz w:val="21"/>
          <w:szCs w:val="21"/>
        </w:rPr>
        <w:t>、参与转融通证券出借业务</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9</w:t>
      </w:r>
      <w:r>
        <w:rPr>
          <w:rFonts w:ascii="宋体" w:hAnsi="宋体" w:hint="eastAsia"/>
          <w:sz w:val="21"/>
          <w:szCs w:val="21"/>
        </w:rPr>
        <w:t>、基金合同终止的风险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基金合同生效之日起三年后的对应自然日，若基金资产净值低于</w:t>
      </w:r>
      <w:r>
        <w:rPr>
          <w:rFonts w:ascii="宋体" w:hAnsi="宋体" w:hint="eastAsia"/>
          <w:sz w:val="21"/>
          <w:szCs w:val="21"/>
        </w:rPr>
        <w:t>2</w:t>
      </w:r>
      <w:r>
        <w:rPr>
          <w:rFonts w:ascii="宋体" w:hAnsi="宋体" w:hint="eastAsia"/>
          <w:sz w:val="21"/>
          <w:szCs w:val="21"/>
        </w:rPr>
        <w:t>亿元，本基金应当按照基</w:t>
      </w:r>
      <w:r>
        <w:rPr>
          <w:rFonts w:ascii="宋体" w:hAnsi="宋体" w:hint="eastAsia"/>
          <w:sz w:val="21"/>
          <w:szCs w:val="21"/>
        </w:rPr>
        <w:t>金合同约定的程序进行清算并终止，且不得通过召开基金份额持有人大会的方式延续。</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自基金合同生效之日起满</w:t>
      </w:r>
      <w:r>
        <w:rPr>
          <w:rFonts w:ascii="宋体" w:hAnsi="宋体" w:hint="eastAsia"/>
          <w:sz w:val="21"/>
          <w:szCs w:val="21"/>
        </w:rPr>
        <w:t>3</w:t>
      </w:r>
      <w:r>
        <w:rPr>
          <w:rFonts w:ascii="宋体" w:hAnsi="宋体" w:hint="eastAsia"/>
          <w:sz w:val="21"/>
          <w:szCs w:val="21"/>
        </w:rPr>
        <w:t>年后本基金继续存续的，连续</w:t>
      </w:r>
      <w:r>
        <w:rPr>
          <w:rFonts w:ascii="宋体" w:hAnsi="宋体" w:hint="eastAsia"/>
          <w:sz w:val="21"/>
          <w:szCs w:val="21"/>
        </w:rPr>
        <w:t>50</w:t>
      </w:r>
      <w:r>
        <w:rPr>
          <w:rFonts w:ascii="宋体" w:hAnsi="宋体" w:hint="eastAsia"/>
          <w:sz w:val="21"/>
          <w:szCs w:val="21"/>
        </w:rPr>
        <w:t>个工作日出现基金份额持有人数量不满</w:t>
      </w:r>
      <w:r>
        <w:rPr>
          <w:rFonts w:ascii="宋体" w:hAnsi="宋体" w:hint="eastAsia"/>
          <w:sz w:val="21"/>
          <w:szCs w:val="21"/>
        </w:rPr>
        <w:t>200</w:t>
      </w:r>
      <w:r>
        <w:rPr>
          <w:rFonts w:ascii="宋体" w:hAnsi="宋体" w:hint="eastAsia"/>
          <w:sz w:val="21"/>
          <w:szCs w:val="21"/>
        </w:rPr>
        <w:t>人或者基金资产净值低于</w:t>
      </w:r>
      <w:r>
        <w:rPr>
          <w:rFonts w:ascii="宋体" w:hAnsi="宋体" w:hint="eastAsia"/>
          <w:sz w:val="21"/>
          <w:szCs w:val="21"/>
        </w:rPr>
        <w:t>5000</w:t>
      </w:r>
      <w:r>
        <w:rPr>
          <w:rFonts w:ascii="宋体" w:hAnsi="宋体" w:hint="eastAsia"/>
          <w:sz w:val="21"/>
          <w:szCs w:val="21"/>
        </w:rPr>
        <w:t>万元情形的，基金管理人将终止基金合同，并按照基金合同约定程序进行清算，此事项不需要召开基金份额持有人大会进行表决。</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因此，基金份额持有人可能面临基金合同终止的风险。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10</w:t>
      </w:r>
      <w:r>
        <w:rPr>
          <w:rFonts w:ascii="宋体" w:hAnsi="宋体" w:hint="eastAsia"/>
          <w:sz w:val="21"/>
          <w:szCs w:val="21"/>
        </w:rPr>
        <w:t>、投资存托凭证的风险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11</w:t>
      </w:r>
      <w:r>
        <w:rPr>
          <w:rFonts w:ascii="宋体" w:hAnsi="宋体" w:hint="eastAsia"/>
          <w:sz w:val="21"/>
          <w:szCs w:val="21"/>
        </w:rPr>
        <w:t xml:space="preserve">、侧袋机制的相关风险　</w:t>
      </w:r>
    </w:p>
    <w:p w:rsidR="00A25588" w:rsidRPr="00D355FC" w:rsidRDefault="00DD1420" w:rsidP="0003056B">
      <w:pPr>
        <w:rPr>
          <w:rFonts w:ascii="宋体" w:hAnsi="宋体" w:cs="宋体"/>
          <w:b/>
          <w:iCs/>
          <w:sz w:val="21"/>
          <w:szCs w:val="21"/>
        </w:rPr>
      </w:pPr>
      <w:r w:rsidRPr="00D355FC">
        <w:rPr>
          <w:rFonts w:ascii="宋体" w:hAnsi="宋体" w:cs="宋体" w:hint="eastAsia"/>
          <w:b/>
          <w:iCs/>
          <w:sz w:val="21"/>
          <w:szCs w:val="21"/>
        </w:rPr>
        <w:t>（二）重要提示</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中国证监会对本基金募集的注册，并不表明其对本基金的价值和收益作出实质性判断</w:t>
      </w:r>
      <w:r>
        <w:rPr>
          <w:rFonts w:ascii="宋体" w:hAnsi="宋体" w:hint="eastAsia"/>
          <w:sz w:val="21"/>
          <w:szCs w:val="21"/>
        </w:rPr>
        <w:t>或保证，也不表明投资于本基金没有风险。</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基金管理人依照恪尽职守、诚实信用、谨慎勤勉的原则管理和运用基金财产，但不保证基金一定盈利，也不保证最低收益。</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基金投资者自依基金合同取得基金份额，即成为基金份额持有人和基金合同的当事人。</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本基金产品资料概要信息发生重大变更的，本基金管理人将在三个工作日内更新，其他信息发生变更的，本基金管理人每年更新一次。因此，本文件内容相比基金的实际情况可能存在一定的滞后，如需及时、准确获取基金的相关信息，敬请同时关注本基金管理人发布的相关临时公告等。</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对于因基金合同的订立、内容、履</w:t>
      </w:r>
      <w:r>
        <w:rPr>
          <w:rFonts w:ascii="宋体" w:hAnsi="宋体" w:hint="eastAsia"/>
          <w:sz w:val="21"/>
          <w:szCs w:val="21"/>
        </w:rPr>
        <w:t>行和解释或与基金合同有关的争议，基金合同当事人应尽量通过协商、调解途径解决。不愿或者不能通过协商、调解解决的，任何一方均有权将争议提交中国国际经济贸易仲裁委员会，仲裁地点为北京市，按照中国国际经济贸易仲裁委员会届时有效的仲裁规则进行仲裁。仲裁裁决是终局的，对各方当事人均有约束力，仲裁费用由败诉方承担，除非仲裁裁决另有决定。基金合同受中国法律（为基金合同之目的，不包括香港特别行政区、澳门特别行政区和台湾地区法律）管辖，并按其解释。</w:t>
      </w:r>
    </w:p>
    <w:p w:rsidR="002E1D09" w:rsidRPr="00D355FC" w:rsidRDefault="00DD1420" w:rsidP="0003056B">
      <w:pPr>
        <w:rPr>
          <w:rFonts w:ascii="宋体" w:hAnsi="宋体" w:cs="宋体"/>
          <w:b/>
          <w:iCs/>
          <w:sz w:val="21"/>
          <w:szCs w:val="21"/>
        </w:rPr>
      </w:pPr>
      <w:r w:rsidRPr="00D355FC">
        <w:rPr>
          <w:rFonts w:ascii="宋体" w:hAnsi="宋体" w:cs="宋体" w:hint="eastAsia"/>
          <w:b/>
          <w:iCs/>
          <w:sz w:val="21"/>
          <w:szCs w:val="24"/>
        </w:rPr>
        <w:t>五、其他资料查询方式</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以下资料详见基金管理人网站（</w:t>
      </w:r>
      <w:r>
        <w:rPr>
          <w:rFonts w:ascii="宋体" w:hAnsi="宋体" w:hint="eastAsia"/>
          <w:sz w:val="21"/>
          <w:szCs w:val="21"/>
        </w:rPr>
        <w:t>www.yhfund.com.cn</w:t>
      </w:r>
      <w:r>
        <w:rPr>
          <w:rFonts w:ascii="宋体" w:hAnsi="宋体" w:hint="eastAsia"/>
          <w:sz w:val="21"/>
          <w:szCs w:val="21"/>
        </w:rPr>
        <w:t>）（客服电话：</w:t>
      </w:r>
      <w:r>
        <w:rPr>
          <w:rFonts w:ascii="宋体" w:hAnsi="宋体" w:hint="eastAsia"/>
          <w:sz w:val="21"/>
          <w:szCs w:val="21"/>
        </w:rPr>
        <w:t>400-678-3333</w:t>
      </w:r>
      <w:r>
        <w:rPr>
          <w:rFonts w:ascii="宋体" w:hAnsi="宋体" w:hint="eastAsia"/>
          <w:sz w:val="21"/>
          <w:szCs w:val="21"/>
        </w:rPr>
        <w:t>）</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1</w:t>
      </w:r>
      <w:r>
        <w:rPr>
          <w:rFonts w:ascii="宋体" w:hAnsi="宋体" w:hint="eastAsia"/>
          <w:sz w:val="21"/>
          <w:szCs w:val="21"/>
        </w:rPr>
        <w:t>、基金合同、托管协议、招募说明书</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2</w:t>
      </w:r>
      <w:r>
        <w:rPr>
          <w:rFonts w:ascii="宋体" w:hAnsi="宋体" w:hint="eastAsia"/>
          <w:sz w:val="21"/>
          <w:szCs w:val="21"/>
        </w:rPr>
        <w:t>、定期报告，包括基金季度报告、中期报告和年度报告</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3</w:t>
      </w:r>
      <w:r>
        <w:rPr>
          <w:rFonts w:ascii="宋体" w:hAnsi="宋体" w:hint="eastAsia"/>
          <w:sz w:val="21"/>
          <w:szCs w:val="21"/>
        </w:rPr>
        <w:t>、基金份额净值</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4</w:t>
      </w:r>
      <w:r>
        <w:rPr>
          <w:rFonts w:ascii="宋体" w:hAnsi="宋体" w:hint="eastAsia"/>
          <w:sz w:val="21"/>
          <w:szCs w:val="21"/>
        </w:rPr>
        <w:t>、基金销售机构及联系方式</w:t>
      </w:r>
    </w:p>
    <w:p w:rsidR="00AE7CEB" w:rsidRDefault="00DD1420" w:rsidP="0003056B">
      <w:pPr>
        <w:autoSpaceDE w:val="0"/>
        <w:autoSpaceDN w:val="0"/>
        <w:adjustRightInd w:val="0"/>
        <w:ind w:firstLine="420"/>
        <w:rPr>
          <w:rFonts w:ascii="宋体" w:hAnsi="宋体"/>
          <w:sz w:val="21"/>
          <w:szCs w:val="21"/>
        </w:rPr>
      </w:pPr>
      <w:r>
        <w:rPr>
          <w:rFonts w:ascii="宋体" w:hAnsi="宋体" w:hint="eastAsia"/>
          <w:sz w:val="21"/>
          <w:szCs w:val="21"/>
        </w:rPr>
        <w:t>5</w:t>
      </w:r>
      <w:r>
        <w:rPr>
          <w:rFonts w:ascii="宋体" w:hAnsi="宋体" w:hint="eastAsia"/>
          <w:sz w:val="21"/>
          <w:szCs w:val="21"/>
        </w:rPr>
        <w:t>、其他重要资料</w:t>
      </w:r>
    </w:p>
    <w:p w:rsidR="008957E7" w:rsidRPr="00D355FC" w:rsidRDefault="00DD1420" w:rsidP="0003056B">
      <w:pPr>
        <w:rPr>
          <w:rFonts w:ascii="宋体" w:hAnsi="宋体" w:cs="宋体"/>
          <w:b/>
          <w:iCs/>
          <w:sz w:val="21"/>
          <w:szCs w:val="21"/>
        </w:rPr>
      </w:pPr>
      <w:r w:rsidRPr="00D355FC">
        <w:rPr>
          <w:rFonts w:ascii="宋体" w:hAnsi="宋体" w:cs="宋体" w:hint="eastAsia"/>
          <w:b/>
          <w:iCs/>
          <w:sz w:val="21"/>
          <w:szCs w:val="24"/>
        </w:rPr>
        <w:t>六、其他情况说明</w:t>
      </w:r>
    </w:p>
    <w:p w:rsidR="00DB3948" w:rsidRPr="00D355FC" w:rsidRDefault="00DD1420" w:rsidP="0003056B">
      <w:pPr>
        <w:autoSpaceDE w:val="0"/>
        <w:autoSpaceDN w:val="0"/>
        <w:adjustRightInd w:val="0"/>
        <w:ind w:firstLine="420"/>
        <w:rPr>
          <w:rFonts w:ascii="宋体" w:hAnsi="宋体"/>
        </w:rPr>
      </w:pPr>
      <w:r>
        <w:rPr>
          <w:rFonts w:ascii="宋体" w:hAnsi="宋体" w:hint="eastAsia"/>
          <w:sz w:val="21"/>
          <w:szCs w:val="21"/>
        </w:rPr>
        <w:t>无</w:t>
      </w:r>
    </w:p>
    <w:sectPr w:rsidR="00DB3948" w:rsidRPr="00D355FC">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C5" w:rsidRDefault="007A64C5" w:rsidP="00880454">
      <w:r>
        <w:separator/>
      </w:r>
    </w:p>
  </w:endnote>
  <w:endnote w:type="continuationSeparator" w:id="0">
    <w:p w:rsidR="007A64C5" w:rsidRDefault="007A64C5" w:rsidP="0088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方正仿宋简体">
    <w:altName w:val="微软雅黑"/>
    <w:charset w:val="86"/>
    <w:family w:val="auto"/>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71041"/>
      <w:docPartObj>
        <w:docPartGallery w:val="Page Numbers (Bottom of Page)"/>
        <w:docPartUnique/>
      </w:docPartObj>
    </w:sdtPr>
    <w:sdtEndPr/>
    <w:sdtContent>
      <w:p w:rsidR="00804BF3" w:rsidRDefault="00DD1420">
        <w:pPr>
          <w:pStyle w:val="a5"/>
          <w:jc w:val="center"/>
        </w:pPr>
        <w:r>
          <w:fldChar w:fldCharType="begin"/>
        </w:r>
        <w:r>
          <w:instrText>PAGE   \* MERGEFORMAT</w:instrText>
        </w:r>
        <w:r>
          <w:fldChar w:fldCharType="separate"/>
        </w:r>
        <w:r w:rsidRPr="00DD1420">
          <w:rPr>
            <w:noProof/>
            <w:lang w:val="zh-CN"/>
          </w:rPr>
          <w:t>2</w:t>
        </w:r>
        <w:r>
          <w:fldChar w:fldCharType="end"/>
        </w:r>
      </w:p>
    </w:sdtContent>
  </w:sdt>
  <w:p w:rsidR="00804BF3" w:rsidRDefault="00DD14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C5" w:rsidRDefault="007A64C5" w:rsidP="00880454">
      <w:r>
        <w:separator/>
      </w:r>
    </w:p>
  </w:footnote>
  <w:footnote w:type="continuationSeparator" w:id="0">
    <w:p w:rsidR="007A64C5" w:rsidRDefault="007A64C5" w:rsidP="0088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B6" w:rsidRDefault="00DD1420" w:rsidP="00DB30BE">
    <w:pPr>
      <w:pStyle w:val="a3"/>
      <w:spacing w:line="240" w:lineRule="atLeast"/>
      <w:jc w:val="right"/>
    </w:pPr>
    <w:r>
      <w:rPr>
        <w:rFonts w:hint="eastAsia"/>
      </w:rPr>
      <w:t>银华巨潮小盘价值交易型开放式指数证券投资基金发起式联接基金基金产品资料概要</w:t>
    </w:r>
    <w:r>
      <w:rPr>
        <w:rFonts w:hint="eastAsia"/>
      </w:rPr>
      <w:t>(</w:t>
    </w:r>
    <w:r>
      <w:rPr>
        <w:rFonts w:hint="eastAsia"/>
      </w:rPr>
      <w:t>更新</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F48FB"/>
    <w:multiLevelType w:val="hybridMultilevel"/>
    <w:tmpl w:val="035648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0"/>
    <w:rsid w:val="00094816"/>
    <w:rsid w:val="00131F08"/>
    <w:rsid w:val="0019752C"/>
    <w:rsid w:val="001E402A"/>
    <w:rsid w:val="00287210"/>
    <w:rsid w:val="002F5DBC"/>
    <w:rsid w:val="00335FE8"/>
    <w:rsid w:val="003E751E"/>
    <w:rsid w:val="00401C56"/>
    <w:rsid w:val="00447692"/>
    <w:rsid w:val="004A275D"/>
    <w:rsid w:val="006240B9"/>
    <w:rsid w:val="006A53E7"/>
    <w:rsid w:val="007A64C5"/>
    <w:rsid w:val="00846EFA"/>
    <w:rsid w:val="00880454"/>
    <w:rsid w:val="008A6FA6"/>
    <w:rsid w:val="00902522"/>
    <w:rsid w:val="0090269C"/>
    <w:rsid w:val="009728DC"/>
    <w:rsid w:val="009C0C41"/>
    <w:rsid w:val="009F4EAE"/>
    <w:rsid w:val="00A16361"/>
    <w:rsid w:val="00AB59CB"/>
    <w:rsid w:val="00AF7A1E"/>
    <w:rsid w:val="00C0525C"/>
    <w:rsid w:val="00CD7637"/>
    <w:rsid w:val="00D04A15"/>
    <w:rsid w:val="00D373CC"/>
    <w:rsid w:val="00DB319C"/>
    <w:rsid w:val="00DD1420"/>
    <w:rsid w:val="00E51B6D"/>
    <w:rsid w:val="00F75715"/>
    <w:rsid w:val="00F811C4"/>
    <w:rsid w:val="00FC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2EDFB4-CD90-4747-B744-A356E158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2806"/>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a4">
    <w:name w:val="页眉 字符"/>
    <w:basedOn w:val="a0"/>
    <w:link w:val="a3"/>
    <w:uiPriority w:val="99"/>
    <w:rsid w:val="00880454"/>
    <w:rPr>
      <w:sz w:val="18"/>
      <w:szCs w:val="18"/>
    </w:rPr>
  </w:style>
  <w:style w:type="paragraph" w:styleId="a5">
    <w:name w:val="footer"/>
    <w:basedOn w:val="a"/>
    <w:link w:val="a6"/>
    <w:uiPriority w:val="99"/>
    <w:unhideWhenUsed/>
    <w:rsid w:val="00880454"/>
    <w:pPr>
      <w:tabs>
        <w:tab w:val="center" w:pos="4153"/>
        <w:tab w:val="right" w:pos="8306"/>
      </w:tabs>
      <w:snapToGrid w:val="0"/>
      <w:jc w:val="left"/>
    </w:pPr>
    <w:rPr>
      <w:sz w:val="18"/>
      <w:szCs w:val="18"/>
    </w:rPr>
  </w:style>
  <w:style w:type="character" w:customStyle="1" w:styleId="a6">
    <w:name w:val="页脚 字符"/>
    <w:basedOn w:val="a0"/>
    <w:link w:val="a5"/>
    <w:uiPriority w:val="99"/>
    <w:rsid w:val="00880454"/>
    <w:rPr>
      <w:sz w:val="18"/>
      <w:szCs w:val="18"/>
    </w:rPr>
  </w:style>
  <w:style w:type="paragraph" w:styleId="a7">
    <w:name w:val="List Paragraph"/>
    <w:basedOn w:val="a"/>
    <w:uiPriority w:val="34"/>
    <w:qFormat/>
    <w:rsid w:val="006A53E7"/>
    <w:pPr>
      <w:ind w:firstLineChars="200" w:firstLine="420"/>
    </w:pPr>
  </w:style>
  <w:style w:type="table" w:styleId="a8">
    <w:name w:val="Table Grid"/>
    <w:basedOn w:val="a1"/>
    <w:uiPriority w:val="39"/>
    <w:rsid w:val="006A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F7A1E"/>
    <w:rPr>
      <w:sz w:val="24"/>
      <w:szCs w:val="24"/>
    </w:rPr>
  </w:style>
  <w:style w:type="paragraph" w:styleId="aa">
    <w:name w:val="annotation text"/>
    <w:basedOn w:val="a"/>
    <w:link w:val="ab"/>
    <w:uiPriority w:val="99"/>
    <w:semiHidden/>
    <w:unhideWhenUsed/>
    <w:rsid w:val="00AF7A1E"/>
    <w:pPr>
      <w:jc w:val="left"/>
    </w:pPr>
  </w:style>
  <w:style w:type="character" w:customStyle="1" w:styleId="ab">
    <w:name w:val="批注文字 字符"/>
    <w:basedOn w:val="a0"/>
    <w:link w:val="aa"/>
    <w:uiPriority w:val="99"/>
    <w:semiHidden/>
    <w:rsid w:val="00AF7A1E"/>
  </w:style>
  <w:style w:type="paragraph" w:styleId="ac">
    <w:name w:val="annotation subject"/>
    <w:basedOn w:val="aa"/>
    <w:next w:val="aa"/>
    <w:link w:val="ad"/>
    <w:uiPriority w:val="99"/>
    <w:semiHidden/>
    <w:unhideWhenUsed/>
    <w:rsid w:val="00AF7A1E"/>
    <w:rPr>
      <w:b/>
      <w:bCs/>
    </w:rPr>
  </w:style>
  <w:style w:type="character" w:customStyle="1" w:styleId="ad">
    <w:name w:val="批注主题 字符"/>
    <w:basedOn w:val="ab"/>
    <w:link w:val="ac"/>
    <w:uiPriority w:val="99"/>
    <w:semiHidden/>
    <w:rsid w:val="00AF7A1E"/>
    <w:rPr>
      <w:b/>
      <w:bCs/>
    </w:rPr>
  </w:style>
  <w:style w:type="paragraph" w:styleId="ae">
    <w:name w:val="Balloon Text"/>
    <w:basedOn w:val="a"/>
    <w:link w:val="af"/>
    <w:uiPriority w:val="99"/>
    <w:semiHidden/>
    <w:unhideWhenUsed/>
    <w:rsid w:val="00AF7A1E"/>
    <w:rPr>
      <w:sz w:val="18"/>
      <w:szCs w:val="18"/>
    </w:rPr>
  </w:style>
  <w:style w:type="character" w:customStyle="1" w:styleId="af">
    <w:name w:val="批注框文本 字符"/>
    <w:basedOn w:val="a0"/>
    <w:link w:val="ae"/>
    <w:uiPriority w:val="99"/>
    <w:semiHidden/>
    <w:rsid w:val="00AF7A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3740</Characters>
  <Application>Microsoft Office Word</Application>
  <DocSecurity>4</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Windows 用户</cp:lastModifiedBy>
  <cp:revision>2</cp:revision>
  <dcterms:created xsi:type="dcterms:W3CDTF">2024-01-04T06:13:00Z</dcterms:created>
  <dcterms:modified xsi:type="dcterms:W3CDTF">2024-01-04T06:13:00Z</dcterms:modified>
</cp:coreProperties>
</file>