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bCs/>
          <w:sz w:val="28"/>
          <w:szCs w:val="28"/>
        </w:rPr>
      </w:pPr>
      <w:bookmarkStart w:id="0" w:name="_Toc461548633"/>
      <w:bookmarkStart w:id="1" w:name="_Toc472089775"/>
      <w:bookmarkStart w:id="2" w:name="_Toc413164584"/>
      <w:bookmarkStart w:id="3" w:name="_Toc479592723"/>
      <w:bookmarkStart w:id="4" w:name="_Toc461548756"/>
      <w:bookmarkStart w:id="5" w:name="_Toc472089835"/>
      <w:bookmarkStart w:id="6" w:name="_Toc461548853"/>
    </w:p>
    <w:p>
      <w:pPr>
        <w:adjustRightInd w:val="0"/>
        <w:snapToGrid w:val="0"/>
        <w:spacing w:line="360" w:lineRule="auto"/>
        <w:jc w:val="center"/>
        <w:rPr>
          <w:rFonts w:ascii="宋体" w:hAnsi="宋体"/>
          <w:b/>
          <w:sz w:val="28"/>
          <w:szCs w:val="28"/>
        </w:rPr>
      </w:pPr>
    </w:p>
    <w:p>
      <w:pPr>
        <w:adjustRightInd w:val="0"/>
        <w:snapToGrid w:val="0"/>
        <w:spacing w:line="360" w:lineRule="auto"/>
        <w:jc w:val="center"/>
        <w:rPr>
          <w:rFonts w:ascii="宋体" w:hAnsi="宋体"/>
          <w:b/>
          <w:sz w:val="28"/>
          <w:szCs w:val="28"/>
        </w:rPr>
      </w:pPr>
    </w:p>
    <w:p>
      <w:pPr>
        <w:adjustRightInd w:val="0"/>
        <w:snapToGrid w:val="0"/>
        <w:spacing w:line="360" w:lineRule="auto"/>
        <w:jc w:val="center"/>
        <w:rPr>
          <w:rFonts w:ascii="宋体" w:hAnsi="宋体"/>
          <w:b/>
          <w:color w:val="000000"/>
          <w:sz w:val="48"/>
          <w:szCs w:val="48"/>
        </w:rPr>
      </w:pPr>
      <w:r>
        <w:rPr>
          <w:rFonts w:hint="eastAsia" w:ascii="宋体" w:hAnsi="宋体"/>
          <w:b/>
          <w:color w:val="000000"/>
          <w:sz w:val="48"/>
          <w:szCs w:val="48"/>
        </w:rPr>
        <w:t>银华中证A50交易型开放式指数证券投资基金联接基金</w:t>
      </w:r>
    </w:p>
    <w:p>
      <w:pPr>
        <w:adjustRightInd w:val="0"/>
        <w:snapToGrid w:val="0"/>
        <w:spacing w:line="360" w:lineRule="auto"/>
        <w:jc w:val="center"/>
        <w:rPr>
          <w:rFonts w:hint="eastAsia" w:ascii="宋体" w:hAnsi="宋体" w:eastAsia="宋体"/>
          <w:sz w:val="28"/>
          <w:szCs w:val="28"/>
          <w:lang w:eastAsia="zh-CN"/>
        </w:rPr>
      </w:pPr>
      <w:r>
        <w:rPr>
          <w:rFonts w:hint="eastAsia" w:ascii="宋体" w:hAnsi="宋体"/>
          <w:b/>
          <w:color w:val="000000"/>
          <w:sz w:val="48"/>
          <w:szCs w:val="48"/>
        </w:rPr>
        <w:t>招募说明书</w:t>
      </w:r>
    </w:p>
    <w:p>
      <w:pPr>
        <w:adjustRightInd w:val="0"/>
        <w:snapToGrid w:val="0"/>
        <w:spacing w:line="360" w:lineRule="auto"/>
        <w:jc w:val="center"/>
        <w:rPr>
          <w:rFonts w:ascii="宋体" w:hAnsi="宋体"/>
          <w:sz w:val="28"/>
          <w:szCs w:val="28"/>
        </w:rPr>
      </w:pPr>
    </w:p>
    <w:p>
      <w:pPr>
        <w:adjustRightInd w:val="0"/>
        <w:snapToGrid w:val="0"/>
        <w:spacing w:line="360" w:lineRule="auto"/>
        <w:jc w:val="center"/>
        <w:rPr>
          <w:rFonts w:ascii="宋体" w:hAnsi="宋体"/>
          <w:sz w:val="28"/>
          <w:szCs w:val="28"/>
        </w:rPr>
      </w:pPr>
    </w:p>
    <w:p>
      <w:pPr>
        <w:adjustRightInd w:val="0"/>
        <w:snapToGrid w:val="0"/>
        <w:spacing w:line="360" w:lineRule="auto"/>
        <w:jc w:val="center"/>
        <w:rPr>
          <w:rFonts w:ascii="宋体" w:hAnsi="宋体"/>
          <w:sz w:val="28"/>
          <w:szCs w:val="28"/>
        </w:rPr>
      </w:pPr>
    </w:p>
    <w:p>
      <w:pPr>
        <w:adjustRightInd w:val="0"/>
        <w:snapToGrid w:val="0"/>
        <w:spacing w:line="360" w:lineRule="auto"/>
        <w:jc w:val="center"/>
        <w:rPr>
          <w:rFonts w:ascii="宋体" w:hAnsi="宋体"/>
          <w:sz w:val="28"/>
          <w:szCs w:val="28"/>
        </w:rPr>
      </w:pPr>
    </w:p>
    <w:p>
      <w:pPr>
        <w:adjustRightInd w:val="0"/>
        <w:snapToGrid w:val="0"/>
        <w:spacing w:line="360" w:lineRule="auto"/>
        <w:jc w:val="center"/>
        <w:rPr>
          <w:rFonts w:ascii="宋体" w:hAnsi="宋体"/>
          <w:sz w:val="28"/>
          <w:szCs w:val="28"/>
        </w:rPr>
      </w:pPr>
    </w:p>
    <w:p>
      <w:pPr>
        <w:adjustRightInd w:val="0"/>
        <w:snapToGrid w:val="0"/>
        <w:spacing w:line="360" w:lineRule="auto"/>
        <w:jc w:val="center"/>
        <w:rPr>
          <w:rFonts w:ascii="宋体" w:hAnsi="宋体"/>
          <w:sz w:val="28"/>
          <w:szCs w:val="28"/>
        </w:rPr>
      </w:pPr>
    </w:p>
    <w:p>
      <w:pPr>
        <w:adjustRightInd w:val="0"/>
        <w:snapToGrid w:val="0"/>
        <w:spacing w:line="360" w:lineRule="auto"/>
        <w:jc w:val="center"/>
        <w:rPr>
          <w:rFonts w:ascii="宋体" w:hAnsi="宋体"/>
          <w:sz w:val="28"/>
          <w:szCs w:val="28"/>
        </w:rPr>
      </w:pPr>
    </w:p>
    <w:p>
      <w:pPr>
        <w:adjustRightInd w:val="0"/>
        <w:snapToGrid w:val="0"/>
        <w:spacing w:line="360" w:lineRule="auto"/>
        <w:jc w:val="center"/>
        <w:rPr>
          <w:rFonts w:ascii="宋体" w:hAnsi="宋体"/>
          <w:sz w:val="28"/>
          <w:szCs w:val="28"/>
        </w:rPr>
      </w:pPr>
    </w:p>
    <w:p>
      <w:pPr>
        <w:adjustRightInd w:val="0"/>
        <w:snapToGrid w:val="0"/>
        <w:spacing w:line="360" w:lineRule="auto"/>
        <w:jc w:val="center"/>
        <w:rPr>
          <w:rFonts w:ascii="宋体" w:hAnsi="宋体"/>
          <w:sz w:val="28"/>
          <w:szCs w:val="28"/>
        </w:rPr>
      </w:pPr>
    </w:p>
    <w:p>
      <w:pPr>
        <w:adjustRightInd w:val="0"/>
        <w:snapToGrid w:val="0"/>
        <w:spacing w:line="360" w:lineRule="auto"/>
        <w:jc w:val="center"/>
        <w:rPr>
          <w:rFonts w:ascii="宋体" w:hAnsi="宋体"/>
          <w:b/>
          <w:color w:val="000000"/>
          <w:sz w:val="36"/>
          <w:szCs w:val="36"/>
        </w:rPr>
      </w:pPr>
      <w:r>
        <w:rPr>
          <w:rFonts w:hint="eastAsia" w:ascii="宋体" w:hAnsi="宋体"/>
          <w:b/>
          <w:color w:val="000000"/>
          <w:sz w:val="36"/>
          <w:szCs w:val="36"/>
        </w:rPr>
        <w:t>基金管理人：银华基金管理股份有限公司</w:t>
      </w:r>
    </w:p>
    <w:p>
      <w:pPr>
        <w:adjustRightInd w:val="0"/>
        <w:snapToGrid w:val="0"/>
        <w:spacing w:line="360" w:lineRule="auto"/>
        <w:jc w:val="center"/>
        <w:rPr>
          <w:rFonts w:ascii="宋体" w:hAnsi="宋体"/>
          <w:b/>
          <w:color w:val="000000"/>
          <w:sz w:val="30"/>
          <w:szCs w:val="30"/>
        </w:rPr>
      </w:pPr>
      <w:r>
        <w:rPr>
          <w:rFonts w:hint="eastAsia" w:ascii="宋体" w:hAnsi="宋体"/>
          <w:b/>
          <w:color w:val="000000"/>
          <w:sz w:val="36"/>
          <w:szCs w:val="36"/>
        </w:rPr>
        <w:t>基金托管人：交通银行股份有限公司</w:t>
      </w:r>
    </w:p>
    <w:p>
      <w:pPr>
        <w:adjustRightInd w:val="0"/>
        <w:snapToGrid w:val="0"/>
        <w:spacing w:line="360" w:lineRule="auto"/>
        <w:jc w:val="center"/>
        <w:rPr>
          <w:rFonts w:ascii="宋体" w:hAnsi="宋体"/>
          <w:bCs/>
          <w:sz w:val="28"/>
        </w:rPr>
      </w:pPr>
    </w:p>
    <w:p>
      <w:pPr>
        <w:adjustRightInd w:val="0"/>
        <w:snapToGrid w:val="0"/>
        <w:spacing w:line="360" w:lineRule="auto"/>
        <w:jc w:val="center"/>
        <w:rPr>
          <w:rFonts w:ascii="宋体" w:hAnsi="宋体"/>
          <w:bCs/>
          <w:sz w:val="28"/>
        </w:rPr>
      </w:pPr>
    </w:p>
    <w:p>
      <w:pPr>
        <w:spacing w:line="360" w:lineRule="auto"/>
        <w:jc w:val="center"/>
        <w:rPr>
          <w:rFonts w:ascii="宋体" w:hAnsi="宋体"/>
          <w:b/>
          <w:color w:val="000000"/>
          <w:sz w:val="30"/>
          <w:szCs w:val="30"/>
        </w:rPr>
      </w:pPr>
    </w:p>
    <w:p>
      <w:pPr>
        <w:pStyle w:val="97"/>
        <w:spacing w:line="360" w:lineRule="auto"/>
        <w:rPr>
          <w:rFonts w:ascii="宋体" w:eastAsia="宋体"/>
          <w:b/>
          <w:color w:val="000000"/>
          <w:szCs w:val="24"/>
        </w:rPr>
        <w:sectPr>
          <w:footerReference r:id="rId5" w:type="first"/>
          <w:headerReference r:id="rId3" w:type="default"/>
          <w:footerReference r:id="rId4" w:type="default"/>
          <w:type w:val="continuous"/>
          <w:pgSz w:w="11906" w:h="16838"/>
          <w:pgMar w:top="1440" w:right="1800" w:bottom="1440" w:left="1800" w:header="851" w:footer="992" w:gutter="0"/>
          <w:pgNumType w:start="0"/>
          <w:cols w:space="720" w:num="1"/>
          <w:titlePg/>
          <w:docGrid w:type="lines" w:linePitch="312" w:charSpace="0"/>
        </w:sectPr>
      </w:pPr>
    </w:p>
    <w:p>
      <w:pPr>
        <w:spacing w:line="360" w:lineRule="auto"/>
        <w:jc w:val="center"/>
        <w:rPr>
          <w:rFonts w:ascii="宋体" w:hAnsi="宋体"/>
          <w:b/>
          <w:sz w:val="32"/>
          <w:szCs w:val="32"/>
        </w:rPr>
      </w:pPr>
      <w:r>
        <w:rPr>
          <w:rFonts w:hint="eastAsia" w:ascii="宋体" w:hAnsi="宋体"/>
          <w:b/>
          <w:sz w:val="32"/>
          <w:szCs w:val="32"/>
        </w:rPr>
        <w:t>重要提示</w:t>
      </w:r>
      <w:bookmarkEnd w:id="0"/>
      <w:bookmarkEnd w:id="1"/>
      <w:bookmarkEnd w:id="2"/>
      <w:bookmarkEnd w:id="3"/>
      <w:bookmarkEnd w:id="4"/>
      <w:bookmarkEnd w:id="5"/>
      <w:bookmarkEnd w:id="6"/>
    </w:p>
    <w:p>
      <w:pPr>
        <w:autoSpaceDE w:val="0"/>
        <w:autoSpaceDN w:val="0"/>
        <w:adjustRightInd w:val="0"/>
        <w:spacing w:line="360" w:lineRule="auto"/>
        <w:jc w:val="center"/>
        <w:rPr>
          <w:rFonts w:ascii="宋体" w:hAnsi="宋体"/>
          <w:b/>
          <w:color w:val="000000"/>
          <w:kern w:val="0"/>
          <w:sz w:val="24"/>
        </w:rPr>
      </w:pPr>
    </w:p>
    <w:p>
      <w:pPr>
        <w:pStyle w:val="21"/>
        <w:adjustRightInd w:val="0"/>
        <w:snapToGrid w:val="0"/>
        <w:ind w:firstLine="480"/>
        <w:rPr>
          <w:sz w:val="24"/>
        </w:rPr>
      </w:pPr>
      <w:r>
        <w:rPr>
          <w:rFonts w:hint="eastAsia"/>
          <w:sz w:val="24"/>
        </w:rPr>
        <w:t>本基金经中国证券监督管理委员会（以下简称“中国证监会”）于</w:t>
      </w:r>
      <w:r>
        <w:rPr>
          <w:rFonts w:hint="eastAsia"/>
          <w:bCs/>
          <w:sz w:val="24"/>
        </w:rPr>
        <w:t>2024年</w:t>
      </w:r>
      <w:r>
        <w:rPr>
          <w:rFonts w:hint="eastAsia"/>
          <w:bCs/>
          <w:sz w:val="24"/>
          <w:lang w:val="en-US" w:eastAsia="zh-CN"/>
        </w:rPr>
        <w:t>3</w:t>
      </w:r>
      <w:r>
        <w:rPr>
          <w:rFonts w:hint="eastAsia"/>
          <w:bCs/>
          <w:sz w:val="24"/>
        </w:rPr>
        <w:t>月</w:t>
      </w:r>
      <w:r>
        <w:rPr>
          <w:rFonts w:hint="eastAsia"/>
          <w:bCs/>
          <w:sz w:val="24"/>
          <w:lang w:val="en-US" w:eastAsia="zh-CN"/>
        </w:rPr>
        <w:t>29</w:t>
      </w:r>
      <w:r>
        <w:rPr>
          <w:rFonts w:hint="eastAsia"/>
          <w:bCs/>
          <w:sz w:val="24"/>
        </w:rPr>
        <w:t>日</w:t>
      </w:r>
      <w:r>
        <w:rPr>
          <w:rFonts w:hint="eastAsia"/>
          <w:sz w:val="24"/>
        </w:rPr>
        <w:t>证监许可【</w:t>
      </w:r>
      <w:r>
        <w:rPr>
          <w:sz w:val="24"/>
        </w:rPr>
        <w:t>202</w:t>
      </w:r>
      <w:r>
        <w:rPr>
          <w:rFonts w:hint="eastAsia"/>
          <w:sz w:val="24"/>
        </w:rPr>
        <w:t>4】</w:t>
      </w:r>
      <w:r>
        <w:rPr>
          <w:rFonts w:hint="eastAsia"/>
          <w:sz w:val="24"/>
          <w:lang w:val="en-US" w:eastAsia="zh-CN"/>
        </w:rPr>
        <w:t>509</w:t>
      </w:r>
      <w:r>
        <w:rPr>
          <w:rFonts w:hint="eastAsia"/>
          <w:bCs/>
          <w:sz w:val="24"/>
        </w:rPr>
        <w:t>号</w:t>
      </w:r>
      <w:r>
        <w:rPr>
          <w:rFonts w:hint="eastAsia"/>
          <w:sz w:val="24"/>
        </w:rPr>
        <w:t>文准予募集注册。</w:t>
      </w:r>
    </w:p>
    <w:p>
      <w:pPr>
        <w:pStyle w:val="21"/>
        <w:adjustRightInd w:val="0"/>
        <w:snapToGrid w:val="0"/>
        <w:ind w:firstLine="480"/>
        <w:rPr>
          <w:sz w:val="24"/>
        </w:rPr>
      </w:pPr>
      <w:r>
        <w:rPr>
          <w:rFonts w:hint="eastAsia"/>
          <w:sz w:val="24"/>
        </w:rPr>
        <w:t>基金管理人保证本招募说明书的内容真实、准确、完整。本招募说明书经中国证监会注册，但中国证监会对本基金募集的注册，并不表明其对本基金的投资价值、市场</w:t>
      </w:r>
      <w:r>
        <w:rPr>
          <w:sz w:val="24"/>
        </w:rPr>
        <w:t>前景</w:t>
      </w:r>
      <w:r>
        <w:rPr>
          <w:rFonts w:hint="eastAsia"/>
          <w:sz w:val="24"/>
        </w:rPr>
        <w:t>和收益作出实质性判断或保证，也不表明投资于本基金没有风险。</w:t>
      </w:r>
    </w:p>
    <w:p>
      <w:pPr>
        <w:pStyle w:val="21"/>
        <w:adjustRightInd w:val="0"/>
        <w:snapToGrid w:val="0"/>
        <w:ind w:firstLine="480"/>
        <w:rPr>
          <w:sz w:val="24"/>
        </w:rPr>
      </w:pPr>
      <w:r>
        <w:rPr>
          <w:rFonts w:hint="eastAsia"/>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pPr>
        <w:pStyle w:val="21"/>
        <w:adjustRightInd w:val="0"/>
        <w:snapToGrid w:val="0"/>
        <w:ind w:firstLine="480"/>
        <w:rPr>
          <w:sz w:val="24"/>
        </w:rPr>
      </w:pPr>
      <w:r>
        <w:rPr>
          <w:rFonts w:hint="eastAsia"/>
          <w:sz w:val="24"/>
        </w:rPr>
        <w:t>基金分为股票型证券投资基金、混合型证券投资基金、债券型证券投资基金、货币市场基金、</w:t>
      </w:r>
      <w:r>
        <w:rPr>
          <w:sz w:val="24"/>
        </w:rPr>
        <w:t>基金中基金</w:t>
      </w:r>
      <w:r>
        <w:rPr>
          <w:rFonts w:hint="eastAsia"/>
          <w:sz w:val="24"/>
        </w:rPr>
        <w:t>等不同类型，投资人投资不同类型的基金将获得不同的收益预期，也将承担不同程度的风险。一般来说，基金的收益预期越高，投资人承担的风险也越大。本基金是ETF联接基金，预期风险与预期收益水平高于债券型基金与货币市场基金。</w:t>
      </w:r>
      <w:r>
        <w:rPr>
          <w:sz w:val="24"/>
        </w:rPr>
        <w:t>本基金</w:t>
      </w:r>
      <w:r>
        <w:rPr>
          <w:rFonts w:hint="eastAsia"/>
          <w:sz w:val="24"/>
        </w:rPr>
        <w:t>主要投资于目标ETF，</w:t>
      </w:r>
      <w:r>
        <w:rPr>
          <w:sz w:val="24"/>
        </w:rPr>
        <w:t>紧密跟踪标的指数</w:t>
      </w:r>
      <w:r>
        <w:rPr>
          <w:rFonts w:hint="eastAsia"/>
          <w:sz w:val="24"/>
        </w:rPr>
        <w:t>，具有与标的指数</w:t>
      </w:r>
      <w:r>
        <w:rPr>
          <w:rFonts w:hint="eastAsia" w:cs="宋体"/>
          <w:sz w:val="24"/>
        </w:rPr>
        <w:t>以及标的指数所代表的股票市场</w:t>
      </w:r>
      <w:r>
        <w:rPr>
          <w:rFonts w:hint="eastAsia"/>
          <w:sz w:val="24"/>
        </w:rPr>
        <w:t>相似的风险收益特征。</w:t>
      </w:r>
    </w:p>
    <w:p>
      <w:pPr>
        <w:pStyle w:val="21"/>
        <w:adjustRightInd w:val="0"/>
        <w:snapToGrid w:val="0"/>
        <w:ind w:firstLine="480"/>
        <w:rPr>
          <w:sz w:val="24"/>
        </w:rPr>
      </w:pPr>
      <w:r>
        <w:rPr>
          <w:rFonts w:hint="eastAsia"/>
          <w:sz w:val="24"/>
        </w:rPr>
        <w:t>本基金按照基金份额发售面值人民币1.00元发售，在市场波动等因素的影响下，基金份额净值可能低于基金份额发售面值。</w:t>
      </w:r>
    </w:p>
    <w:p>
      <w:pPr>
        <w:pStyle w:val="21"/>
        <w:adjustRightInd w:val="0"/>
        <w:snapToGrid w:val="0"/>
        <w:ind w:firstLine="480"/>
        <w:rPr>
          <w:sz w:val="24"/>
        </w:rPr>
      </w:pPr>
      <w:r>
        <w:rPr>
          <w:rFonts w:hint="eastAsia"/>
          <w:sz w:val="24"/>
        </w:rPr>
        <w:t>本基金主要投资于证券市场，基金净值会因为证券市场波动等因素产生波动，投资人在投资本基金前，需充分了解本基金的产品特性，充分考虑自身的风险承受能力，理性判断市场，并承担基金投资中出现的各类风险，包括市场风险、基金运作风险、流动性风险、其他风险以及本基金特有的风险等。本基金特有的风险主要</w:t>
      </w:r>
      <w:r>
        <w:rPr>
          <w:sz w:val="24"/>
        </w:rPr>
        <w:t>包括</w:t>
      </w:r>
      <w:r>
        <w:rPr>
          <w:rFonts w:hint="eastAsia"/>
          <w:sz w:val="24"/>
        </w:rPr>
        <w:t>联接基金风险、跟踪偏离风险、与目标ETF业绩差异的风险、其他投资于目标ETF的风险、跟踪误差控制未达约定目标的</w:t>
      </w:r>
      <w:r>
        <w:rPr>
          <w:sz w:val="24"/>
        </w:rPr>
        <w:t>风险</w:t>
      </w:r>
      <w:r>
        <w:rPr>
          <w:rFonts w:hint="eastAsia"/>
          <w:sz w:val="24"/>
        </w:rPr>
        <w:t>、指数编制机构停止服务的风险、成份股停牌或退市的</w:t>
      </w:r>
      <w:r>
        <w:rPr>
          <w:sz w:val="24"/>
        </w:rPr>
        <w:t>风险、</w:t>
      </w:r>
      <w:r>
        <w:rPr>
          <w:rFonts w:hint="eastAsia"/>
          <w:sz w:val="24"/>
        </w:rPr>
        <w:t>标的指数变更的风险、投资股指期货的风险、投资股票期权的风险、投资资产支持证券的风险、</w:t>
      </w:r>
      <w:r>
        <w:rPr>
          <w:rFonts w:hint="eastAsia" w:cs="宋体"/>
          <w:sz w:val="24"/>
        </w:rPr>
        <w:t>参与融资交易的风险、</w:t>
      </w:r>
      <w:r>
        <w:rPr>
          <w:rFonts w:hint="eastAsia"/>
          <w:sz w:val="24"/>
        </w:rPr>
        <w:t>参与转融通证券出借业务</w:t>
      </w:r>
      <w:r>
        <w:rPr>
          <w:sz w:val="24"/>
        </w:rPr>
        <w:t>的风险</w:t>
      </w:r>
      <w:r>
        <w:rPr>
          <w:rFonts w:hint="eastAsia"/>
          <w:sz w:val="24"/>
        </w:rPr>
        <w:t>、参与债券回购的风险、基金合同终止的风险、</w:t>
      </w:r>
      <w:r>
        <w:rPr>
          <w:rFonts w:hint="eastAsia" w:cs="宋体"/>
          <w:sz w:val="24"/>
        </w:rPr>
        <w:t>投资存托凭证的风险</w:t>
      </w:r>
      <w:r>
        <w:rPr>
          <w:rFonts w:cs="宋体"/>
          <w:sz w:val="24"/>
        </w:rPr>
        <w:t>、</w:t>
      </w:r>
      <w:r>
        <w:rPr>
          <w:rFonts w:hint="eastAsia" w:cs="宋体"/>
          <w:sz w:val="24"/>
        </w:rPr>
        <w:t>侧袋机制的相关风险</w:t>
      </w:r>
      <w:r>
        <w:rPr>
          <w:sz w:val="24"/>
        </w:rPr>
        <w:t>及投资科创板股票的风险</w:t>
      </w:r>
      <w:r>
        <w:rPr>
          <w:rFonts w:hint="eastAsia"/>
          <w:sz w:val="24"/>
        </w:rPr>
        <w:t>等，具体详见本招募说明书“风险揭示”部分。巨额赎回风险是开放式基金所特有的一种风险，对本基金</w:t>
      </w:r>
      <w:r>
        <w:rPr>
          <w:sz w:val="24"/>
        </w:rPr>
        <w:t>而言，</w:t>
      </w:r>
      <w:r>
        <w:rPr>
          <w:rFonts w:hint="eastAsia"/>
          <w:bCs/>
          <w:sz w:val="24"/>
        </w:rPr>
        <w:t>即当本基金单个开放日内的基金份额净赎回申请</w:t>
      </w:r>
      <w:r>
        <w:rPr>
          <w:bCs/>
          <w:sz w:val="24"/>
        </w:rPr>
        <w:t>（赎回申请份额总数加上基金转换中转出申请份额总数后扣除申购申请份额总数及基金转换中转入申请份额总数后的余额）</w:t>
      </w:r>
      <w:r>
        <w:rPr>
          <w:rFonts w:hint="eastAsia"/>
          <w:bCs/>
          <w:sz w:val="24"/>
        </w:rPr>
        <w:t>超过前一开放日基金总份额的百分之十时，</w:t>
      </w:r>
      <w:r>
        <w:rPr>
          <w:rFonts w:hint="eastAsia"/>
          <w:sz w:val="24"/>
        </w:rPr>
        <w:t>投资人将可能无法及时赎回持有的全部基金份额。</w:t>
      </w:r>
    </w:p>
    <w:p>
      <w:pPr>
        <w:pStyle w:val="21"/>
        <w:adjustRightInd w:val="0"/>
        <w:snapToGrid w:val="0"/>
        <w:ind w:firstLine="480"/>
        <w:rPr>
          <w:sz w:val="24"/>
        </w:rPr>
      </w:pPr>
      <w:r>
        <w:rPr>
          <w:rFonts w:hint="eastAsia"/>
          <w:sz w:val="24"/>
        </w:rPr>
        <w:t>因本基金基金合同生效后，如连续50个工作日出现基金份额持有人数量不满200人或者基金资产净值低于5000万元的情形，本基金将终止基金合同并进行基金财产清算，且无需召开基金份额持有人大会审议。</w:t>
      </w:r>
    </w:p>
    <w:p>
      <w:pPr>
        <w:pStyle w:val="21"/>
        <w:adjustRightInd w:val="0"/>
        <w:snapToGrid w:val="0"/>
        <w:ind w:firstLine="480"/>
        <w:rPr>
          <w:sz w:val="24"/>
        </w:rPr>
      </w:pPr>
      <w:r>
        <w:rPr>
          <w:rFonts w:hint="eastAsia"/>
          <w:sz w:val="24"/>
        </w:rPr>
        <w:t>若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本基金将终止基金合同并进行基金财产清算。故基金份额持有人可能面临基金合同终止的风险。</w:t>
      </w:r>
    </w:p>
    <w:p>
      <w:pPr>
        <w:pStyle w:val="21"/>
        <w:adjustRightInd w:val="0"/>
        <w:snapToGrid w:val="0"/>
        <w:ind w:firstLine="480"/>
        <w:rPr>
          <w:sz w:val="24"/>
        </w:rPr>
      </w:pPr>
      <w:r>
        <w:rPr>
          <w:rFonts w:hint="eastAsia"/>
          <w:sz w:val="24"/>
        </w:rPr>
        <w:t>当本基金持有特定资产且存在或潜在大额赎回申请时，基金管理人履行相应程序后，可以启用侧袋机制，具体详见基金合同和本招募说明书的有关章节。请基金份额持有人仔细阅读相关内容并关注本基金启用侧袋机制时的特定风险。</w:t>
      </w:r>
    </w:p>
    <w:p>
      <w:pPr>
        <w:adjustRightInd w:val="0"/>
        <w:snapToGrid w:val="0"/>
        <w:spacing w:line="360" w:lineRule="auto"/>
        <w:ind w:firstLine="480" w:firstLineChars="200"/>
        <w:rPr>
          <w:sz w:val="24"/>
        </w:rPr>
      </w:pPr>
      <w:r>
        <w:rPr>
          <w:rFonts w:hint="eastAsia"/>
          <w:bCs/>
          <w:sz w:val="24"/>
        </w:rPr>
        <w:t>本基金的投资范围包括存托凭证，若投资可能面临中国存托凭证价格大幅波动甚至出现较大亏损的风险，以及与创新企业、境外发行人、中国存托凭证发行机制以及交易机制等相关的风险。</w:t>
      </w:r>
    </w:p>
    <w:p>
      <w:pPr>
        <w:pStyle w:val="21"/>
        <w:adjustRightInd w:val="0"/>
        <w:snapToGrid w:val="0"/>
        <w:ind w:firstLine="480"/>
        <w:rPr>
          <w:sz w:val="24"/>
          <w:szCs w:val="24"/>
        </w:rPr>
      </w:pPr>
      <w:r>
        <w:rPr>
          <w:rFonts w:hint="eastAsia"/>
          <w:sz w:val="24"/>
          <w:szCs w:val="24"/>
        </w:rPr>
        <w:t>本基金投资于科创板股票，会面临科创板机制下因投资标的、市场制度以及交易规则等差异带来的特有风险，包括但不限于科创板上市公司股票价格波动较大的风险、流动性风险、退市风险和投资集中风险等。</w:t>
      </w:r>
    </w:p>
    <w:p>
      <w:pPr>
        <w:pStyle w:val="21"/>
        <w:adjustRightInd w:val="0"/>
        <w:snapToGrid w:val="0"/>
        <w:ind w:firstLine="480"/>
        <w:rPr>
          <w:sz w:val="24"/>
        </w:rPr>
      </w:pPr>
      <w:r>
        <w:rPr>
          <w:rFonts w:hint="eastAsia"/>
          <w:sz w:val="24"/>
        </w:rPr>
        <w:t>投资有风险，投资人在进行投资决策前，请仔细阅读本招募说明书、基金合同、基金产品资料概要等信息披露文件，了解本基金的风险收益特征，并根据自身的投资目的、投资期限、投资经验、资产状况等判断基金是否和投资人的风险承受能力相适应。</w:t>
      </w:r>
    </w:p>
    <w:p>
      <w:pPr>
        <w:pStyle w:val="21"/>
        <w:adjustRightInd w:val="0"/>
        <w:snapToGrid w:val="0"/>
        <w:ind w:firstLine="480"/>
        <w:rPr>
          <w:sz w:val="24"/>
        </w:rPr>
      </w:pPr>
      <w:r>
        <w:rPr>
          <w:rFonts w:hint="eastAsia"/>
          <w:sz w:val="24"/>
        </w:rPr>
        <w:t>基金管理人承诺以恪尽职守、诚实信用、谨慎勤勉的原则管理和运用基金资产，但不保证本基金一定盈利，也不保证最低收益。</w:t>
      </w:r>
      <w:r>
        <w:rPr>
          <w:rFonts w:hint="eastAsia"/>
          <w:bCs/>
          <w:sz w:val="24"/>
        </w:rPr>
        <w:t>当投资人赎回时，所得可能会高于或低于投资人先前所支付的金额。</w:t>
      </w:r>
      <w:r>
        <w:rPr>
          <w:rFonts w:hint="eastAsia"/>
          <w:sz w:val="24"/>
        </w:rPr>
        <w:t>投资人应当认真阅读基金合同、基金招募说明书、</w:t>
      </w:r>
      <w:r>
        <w:rPr>
          <w:sz w:val="24"/>
        </w:rPr>
        <w:t>基金产品资料概要</w:t>
      </w:r>
      <w:r>
        <w:rPr>
          <w:rFonts w:hint="eastAsia"/>
          <w:sz w:val="24"/>
        </w:rPr>
        <w:t>等信息披露文件，自主判断基金的投资价值，自主做出投资决策，自行承担投资风险。</w:t>
      </w:r>
      <w:r>
        <w:rPr>
          <w:rFonts w:hint="eastAsia"/>
          <w:b/>
          <w:bCs/>
          <w:sz w:val="24"/>
        </w:rPr>
        <w:t>投资者应当认真阅读并完全理解基金合同第二十部分规定的免责条款、第二十一部分规定的争议处理方式。</w:t>
      </w:r>
      <w:r>
        <w:rPr>
          <w:rFonts w:hint="eastAsia"/>
          <w:sz w:val="24"/>
        </w:rPr>
        <w:t>本基金的过往业绩及其净值高低并不预示其未来业绩表现。基金管理人所管理的其他基金的业绩并不构成对本基金业绩表现的保证。基金管理人提醒投资人基金投资的“买者自负”原则，在做出投资决策后，基金运营状况与基金净值变化引致的投资风险，由投资人自行负担。</w:t>
      </w:r>
    </w:p>
    <w:p>
      <w:pPr>
        <w:pStyle w:val="21"/>
        <w:adjustRightInd w:val="0"/>
        <w:snapToGrid w:val="0"/>
        <w:ind w:firstLine="480"/>
        <w:rPr>
          <w:sz w:val="24"/>
        </w:rPr>
      </w:pPr>
      <w:r>
        <w:rPr>
          <w:rFonts w:hint="eastAsia"/>
          <w:sz w:val="24"/>
        </w:rPr>
        <w:t>投资人应当通过基金管理人或具有基金销售业务资格的其他机构认购、申购和赎回基金份额，基金销售机构名单详见本招募说明书、本基金的基金份额发售公告以及基金管理人网站公示。</w:t>
      </w:r>
    </w:p>
    <w:p>
      <w:pPr>
        <w:pStyle w:val="21"/>
        <w:adjustRightInd w:val="0"/>
        <w:snapToGrid w:val="0"/>
        <w:ind w:firstLine="480"/>
        <w:rPr>
          <w:sz w:val="24"/>
        </w:rPr>
      </w:pPr>
      <w:r>
        <w:rPr>
          <w:rFonts w:hint="eastAsia"/>
          <w:sz w:val="24"/>
        </w:rPr>
        <w:t>本基金标的指数为中证A50指数，标的指数相关信息如下：</w:t>
      </w:r>
    </w:p>
    <w:p>
      <w:pPr>
        <w:pStyle w:val="21"/>
        <w:adjustRightInd w:val="0"/>
        <w:snapToGrid w:val="0"/>
        <w:ind w:firstLine="480"/>
        <w:rPr>
          <w:sz w:val="24"/>
        </w:rPr>
      </w:pPr>
      <w:r>
        <w:rPr>
          <w:rFonts w:hint="eastAsia"/>
          <w:sz w:val="24"/>
        </w:rPr>
        <w:t>1、指数名称和代码</w:t>
      </w:r>
    </w:p>
    <w:p>
      <w:pPr>
        <w:pStyle w:val="21"/>
        <w:tabs>
          <w:tab w:val="left" w:pos="705"/>
        </w:tabs>
        <w:adjustRightInd w:val="0"/>
        <w:snapToGrid w:val="0"/>
        <w:ind w:firstLine="480"/>
        <w:rPr>
          <w:rFonts w:hAnsi="Calibri"/>
          <w:sz w:val="24"/>
          <w:szCs w:val="22"/>
        </w:rPr>
      </w:pPr>
      <w:r>
        <w:rPr>
          <w:rFonts w:hint="eastAsia" w:hAnsi="Calibri"/>
          <w:sz w:val="24"/>
          <w:szCs w:val="22"/>
        </w:rPr>
        <w:t>指数名称：中证A50指数</w:t>
      </w:r>
    </w:p>
    <w:p>
      <w:pPr>
        <w:pStyle w:val="21"/>
        <w:tabs>
          <w:tab w:val="left" w:pos="705"/>
        </w:tabs>
        <w:adjustRightInd w:val="0"/>
        <w:snapToGrid w:val="0"/>
        <w:ind w:firstLine="480"/>
        <w:rPr>
          <w:rFonts w:hAnsi="Calibri"/>
          <w:sz w:val="24"/>
          <w:szCs w:val="22"/>
        </w:rPr>
      </w:pPr>
      <w:r>
        <w:rPr>
          <w:rFonts w:hint="eastAsia" w:hAnsi="Calibri"/>
          <w:sz w:val="24"/>
          <w:szCs w:val="22"/>
        </w:rPr>
        <w:t>指数简称：中证A50</w:t>
      </w:r>
    </w:p>
    <w:p>
      <w:pPr>
        <w:pStyle w:val="21"/>
        <w:tabs>
          <w:tab w:val="left" w:pos="705"/>
        </w:tabs>
        <w:adjustRightInd w:val="0"/>
        <w:snapToGrid w:val="0"/>
        <w:ind w:firstLine="480"/>
        <w:rPr>
          <w:rFonts w:hAnsi="Calibri"/>
          <w:sz w:val="24"/>
          <w:szCs w:val="22"/>
        </w:rPr>
      </w:pPr>
      <w:r>
        <w:rPr>
          <w:rFonts w:hint="eastAsia" w:hAnsi="Calibri"/>
          <w:sz w:val="24"/>
          <w:szCs w:val="22"/>
        </w:rPr>
        <w:t xml:space="preserve">英文名称：CSI A50 Index </w:t>
      </w:r>
    </w:p>
    <w:p>
      <w:pPr>
        <w:pStyle w:val="21"/>
        <w:tabs>
          <w:tab w:val="left" w:pos="705"/>
        </w:tabs>
        <w:adjustRightInd w:val="0"/>
        <w:snapToGrid w:val="0"/>
        <w:ind w:firstLine="480"/>
        <w:rPr>
          <w:rFonts w:hAnsi="Calibri"/>
          <w:sz w:val="24"/>
          <w:szCs w:val="22"/>
        </w:rPr>
      </w:pPr>
      <w:r>
        <w:rPr>
          <w:rFonts w:hint="eastAsia" w:hAnsi="Calibri"/>
          <w:sz w:val="24"/>
          <w:szCs w:val="22"/>
        </w:rPr>
        <w:t>英文简称：CSI A50</w:t>
      </w:r>
    </w:p>
    <w:p>
      <w:pPr>
        <w:pStyle w:val="21"/>
        <w:adjustRightInd w:val="0"/>
        <w:snapToGrid w:val="0"/>
        <w:ind w:firstLine="480"/>
        <w:rPr>
          <w:rFonts w:hAnsi="Calibri"/>
          <w:sz w:val="24"/>
          <w:szCs w:val="22"/>
        </w:rPr>
      </w:pPr>
      <w:r>
        <w:rPr>
          <w:rFonts w:hint="eastAsia" w:hAnsi="Calibri"/>
          <w:sz w:val="24"/>
          <w:szCs w:val="22"/>
        </w:rPr>
        <w:t>指数代码：930050</w:t>
      </w:r>
    </w:p>
    <w:p>
      <w:pPr>
        <w:pStyle w:val="21"/>
        <w:adjustRightInd w:val="0"/>
        <w:snapToGrid w:val="0"/>
        <w:ind w:firstLine="480"/>
        <w:rPr>
          <w:sz w:val="24"/>
        </w:rPr>
      </w:pPr>
      <w:r>
        <w:rPr>
          <w:rFonts w:hint="eastAsia"/>
          <w:sz w:val="24"/>
        </w:rPr>
        <w:t>2、指数基日和基点</w:t>
      </w:r>
    </w:p>
    <w:p>
      <w:pPr>
        <w:pStyle w:val="21"/>
        <w:adjustRightInd w:val="0"/>
        <w:snapToGrid w:val="0"/>
        <w:ind w:firstLine="480"/>
        <w:rPr>
          <w:sz w:val="24"/>
        </w:rPr>
      </w:pPr>
      <w:r>
        <w:rPr>
          <w:rFonts w:hint="eastAsia" w:hAnsi="Calibri"/>
          <w:sz w:val="24"/>
          <w:szCs w:val="22"/>
        </w:rPr>
        <w:t>该指数以2014年12月31日为基日，以1000点为基点。</w:t>
      </w:r>
    </w:p>
    <w:p>
      <w:pPr>
        <w:pStyle w:val="21"/>
        <w:adjustRightInd w:val="0"/>
        <w:snapToGrid w:val="0"/>
        <w:ind w:firstLine="480"/>
        <w:rPr>
          <w:sz w:val="24"/>
        </w:rPr>
      </w:pPr>
      <w:r>
        <w:rPr>
          <w:rFonts w:hint="eastAsia"/>
          <w:sz w:val="24"/>
        </w:rPr>
        <w:t>3、样本选取方法</w:t>
      </w:r>
    </w:p>
    <w:p>
      <w:pPr>
        <w:pStyle w:val="21"/>
        <w:adjustRightInd w:val="0"/>
        <w:snapToGrid w:val="0"/>
        <w:ind w:firstLine="480"/>
        <w:rPr>
          <w:rFonts w:hAnsi="Calibri"/>
          <w:sz w:val="24"/>
          <w:szCs w:val="22"/>
        </w:rPr>
      </w:pPr>
      <w:r>
        <w:rPr>
          <w:rFonts w:hint="eastAsia" w:hAnsi="Calibri"/>
          <w:sz w:val="24"/>
          <w:szCs w:val="22"/>
        </w:rPr>
        <w:t>（1）样本空间</w:t>
      </w:r>
    </w:p>
    <w:p>
      <w:pPr>
        <w:pStyle w:val="21"/>
        <w:adjustRightInd w:val="0"/>
        <w:snapToGrid w:val="0"/>
        <w:ind w:firstLine="480"/>
        <w:rPr>
          <w:rFonts w:hAnsi="Calibri"/>
          <w:sz w:val="24"/>
          <w:szCs w:val="22"/>
        </w:rPr>
      </w:pPr>
      <w:r>
        <w:rPr>
          <w:rFonts w:hint="eastAsia" w:hAnsi="Calibri"/>
          <w:sz w:val="24"/>
          <w:szCs w:val="22"/>
        </w:rPr>
        <w:t>同中证全指指数的样本空间</w:t>
      </w:r>
    </w:p>
    <w:p>
      <w:pPr>
        <w:pStyle w:val="21"/>
        <w:adjustRightInd w:val="0"/>
        <w:snapToGrid w:val="0"/>
        <w:ind w:firstLine="480"/>
        <w:rPr>
          <w:rFonts w:hAnsi="Calibri"/>
          <w:sz w:val="24"/>
          <w:szCs w:val="22"/>
        </w:rPr>
      </w:pPr>
      <w:r>
        <w:rPr>
          <w:rFonts w:hint="eastAsia" w:hAnsi="Calibri"/>
          <w:sz w:val="24"/>
          <w:szCs w:val="22"/>
        </w:rPr>
        <w:t>（2）可投资性筛选</w:t>
      </w:r>
    </w:p>
    <w:p>
      <w:pPr>
        <w:pStyle w:val="21"/>
        <w:adjustRightInd w:val="0"/>
        <w:snapToGrid w:val="0"/>
        <w:ind w:firstLine="480"/>
        <w:rPr>
          <w:rFonts w:hAnsi="Calibri"/>
          <w:sz w:val="24"/>
          <w:szCs w:val="22"/>
        </w:rPr>
      </w:pPr>
      <w:r>
        <w:rPr>
          <w:rFonts w:hint="eastAsia" w:hAnsi="Calibri"/>
          <w:sz w:val="24"/>
          <w:szCs w:val="22"/>
        </w:rPr>
        <w:t>过去一年日均成交金额排名位于样本空间前90%。</w:t>
      </w:r>
    </w:p>
    <w:p>
      <w:pPr>
        <w:pStyle w:val="21"/>
        <w:adjustRightInd w:val="0"/>
        <w:snapToGrid w:val="0"/>
        <w:ind w:firstLine="480"/>
        <w:rPr>
          <w:rFonts w:hAnsi="Calibri"/>
          <w:sz w:val="24"/>
          <w:szCs w:val="22"/>
        </w:rPr>
      </w:pPr>
      <w:r>
        <w:rPr>
          <w:rFonts w:hint="eastAsia" w:hAnsi="Calibri"/>
          <w:sz w:val="24"/>
          <w:szCs w:val="22"/>
        </w:rPr>
        <w:t>（3）选样方法</w:t>
      </w:r>
    </w:p>
    <w:p>
      <w:pPr>
        <w:pStyle w:val="21"/>
        <w:adjustRightInd w:val="0"/>
        <w:snapToGrid w:val="0"/>
        <w:ind w:firstLine="480"/>
        <w:rPr>
          <w:rFonts w:hAnsi="Calibri"/>
          <w:sz w:val="24"/>
          <w:szCs w:val="22"/>
        </w:rPr>
      </w:pPr>
      <w:r>
        <w:rPr>
          <w:rFonts w:hint="eastAsia" w:hAnsi="Calibri"/>
          <w:sz w:val="24"/>
          <w:szCs w:val="22"/>
        </w:rPr>
        <w:t>1）对于样本空间内符合可投资性筛选条件的证券，剔除中证ESG评价结果在C及以下的上市公司证券；</w:t>
      </w:r>
    </w:p>
    <w:p>
      <w:pPr>
        <w:pStyle w:val="21"/>
        <w:adjustRightInd w:val="0"/>
        <w:snapToGrid w:val="0"/>
        <w:ind w:firstLine="480"/>
        <w:rPr>
          <w:rFonts w:hAnsi="Calibri"/>
          <w:sz w:val="24"/>
          <w:szCs w:val="22"/>
        </w:rPr>
      </w:pPr>
      <w:r>
        <w:rPr>
          <w:rFonts w:hint="eastAsia" w:hAnsi="Calibri"/>
          <w:sz w:val="24"/>
          <w:szCs w:val="22"/>
        </w:rPr>
        <w:t>2）选取同时满足以下条件的证券作为待选样本：</w:t>
      </w:r>
    </w:p>
    <w:p>
      <w:pPr>
        <w:pStyle w:val="21"/>
        <w:numPr>
          <w:ilvl w:val="0"/>
          <w:numId w:val="2"/>
        </w:numPr>
        <w:adjustRightInd w:val="0"/>
        <w:snapToGrid w:val="0"/>
        <w:ind w:firstLineChars="0"/>
        <w:rPr>
          <w:rFonts w:hAnsi="Calibri"/>
          <w:sz w:val="24"/>
          <w:szCs w:val="22"/>
        </w:rPr>
      </w:pPr>
      <w:r>
        <w:rPr>
          <w:rFonts w:hint="eastAsia" w:hAnsi="Calibri"/>
          <w:sz w:val="24"/>
          <w:szCs w:val="22"/>
        </w:rPr>
        <w:t>所属中证三级行业内过去一年日均自由流通市值排名第一；</w:t>
      </w:r>
    </w:p>
    <w:p>
      <w:pPr>
        <w:pStyle w:val="21"/>
        <w:numPr>
          <w:ilvl w:val="0"/>
          <w:numId w:val="2"/>
        </w:numPr>
        <w:adjustRightInd w:val="0"/>
        <w:snapToGrid w:val="0"/>
        <w:ind w:firstLineChars="0"/>
        <w:rPr>
          <w:rFonts w:hAnsi="Calibri"/>
          <w:sz w:val="24"/>
          <w:szCs w:val="22"/>
        </w:rPr>
      </w:pPr>
      <w:r>
        <w:rPr>
          <w:rFonts w:hint="eastAsia" w:hAnsi="Calibri"/>
          <w:sz w:val="24"/>
          <w:szCs w:val="22"/>
        </w:rPr>
        <w:t>样本空间内过去一年日均总市值排名前</w:t>
      </w:r>
      <w:r>
        <w:rPr>
          <w:rFonts w:hAnsi="Calibri"/>
          <w:sz w:val="24"/>
          <w:szCs w:val="22"/>
        </w:rPr>
        <w:t>300</w:t>
      </w:r>
      <w:r>
        <w:rPr>
          <w:rFonts w:hint="eastAsia" w:hAnsi="Calibri"/>
          <w:sz w:val="24"/>
          <w:szCs w:val="22"/>
        </w:rPr>
        <w:t>；</w:t>
      </w:r>
    </w:p>
    <w:p>
      <w:pPr>
        <w:pStyle w:val="21"/>
        <w:numPr>
          <w:ilvl w:val="0"/>
          <w:numId w:val="2"/>
        </w:numPr>
        <w:adjustRightInd w:val="0"/>
        <w:snapToGrid w:val="0"/>
        <w:ind w:firstLineChars="0"/>
        <w:rPr>
          <w:rFonts w:hAnsi="Calibri"/>
          <w:sz w:val="24"/>
          <w:szCs w:val="22"/>
        </w:rPr>
      </w:pPr>
      <w:r>
        <w:rPr>
          <w:rFonts w:hint="eastAsia" w:hAnsi="Calibri"/>
          <w:sz w:val="24"/>
          <w:szCs w:val="22"/>
        </w:rPr>
        <w:t>属于沪股通或深股通证券范围。</w:t>
      </w:r>
    </w:p>
    <w:p>
      <w:pPr>
        <w:pStyle w:val="21"/>
        <w:adjustRightInd w:val="0"/>
        <w:snapToGrid w:val="0"/>
        <w:ind w:firstLine="480"/>
        <w:rPr>
          <w:sz w:val="24"/>
        </w:rPr>
      </w:pPr>
      <w:r>
        <w:rPr>
          <w:rFonts w:hint="eastAsia" w:hAnsi="Calibri"/>
          <w:sz w:val="24"/>
          <w:szCs w:val="22"/>
        </w:rPr>
        <w:t>3）在待选样本中，选取过去一年日均自由流通市值最大的50只证券作为指数样本，同时满足各中证二级行业入选数量不少于1只。</w:t>
      </w:r>
    </w:p>
    <w:p>
      <w:pPr>
        <w:pStyle w:val="21"/>
        <w:adjustRightInd w:val="0"/>
        <w:snapToGrid w:val="0"/>
        <w:ind w:firstLine="480"/>
        <w:rPr>
          <w:sz w:val="24"/>
        </w:rPr>
      </w:pPr>
      <w:r>
        <w:rPr>
          <w:rFonts w:hint="eastAsia"/>
          <w:sz w:val="24"/>
        </w:rPr>
        <w:t>4、指数计算</w:t>
      </w:r>
    </w:p>
    <w:p>
      <w:pPr>
        <w:pStyle w:val="21"/>
        <w:adjustRightInd w:val="0"/>
        <w:snapToGrid w:val="0"/>
        <w:ind w:firstLine="480"/>
        <w:rPr>
          <w:rFonts w:hAnsi="Calibri"/>
          <w:sz w:val="24"/>
          <w:szCs w:val="22"/>
        </w:rPr>
      </w:pPr>
      <w:r>
        <w:rPr>
          <w:rFonts w:hint="eastAsia" w:hAnsi="Calibri"/>
          <w:sz w:val="24"/>
          <w:szCs w:val="22"/>
        </w:rPr>
        <w:t>指数计算公式为：</w:t>
      </w:r>
    </w:p>
    <w:p>
      <w:pPr>
        <w:pStyle w:val="21"/>
        <w:adjustRightInd w:val="0"/>
        <w:snapToGrid w:val="0"/>
        <w:ind w:firstLine="480"/>
        <w:rPr>
          <w:rFonts w:hAnsi="Calibri"/>
          <w:sz w:val="24"/>
          <w:szCs w:val="22"/>
        </w:rPr>
      </w:pPr>
      <w:r>
        <w:rPr>
          <w:rFonts w:hint="eastAsia" w:hAnsi="Calibri"/>
          <w:sz w:val="24"/>
          <w:szCs w:val="22"/>
        </w:rPr>
        <w:t>报告期指数=报告期样本的调整市值/除数×1000</w:t>
      </w:r>
    </w:p>
    <w:p>
      <w:pPr>
        <w:pStyle w:val="21"/>
        <w:adjustRightInd w:val="0"/>
        <w:snapToGrid w:val="0"/>
        <w:ind w:firstLine="480"/>
        <w:rPr>
          <w:rFonts w:hAnsi="Calibri"/>
          <w:sz w:val="24"/>
          <w:szCs w:val="22"/>
        </w:rPr>
      </w:pPr>
      <w:r>
        <w:rPr>
          <w:rFonts w:hint="eastAsia" w:hAnsi="Calibri"/>
          <w:sz w:val="24"/>
          <w:szCs w:val="22"/>
        </w:rPr>
        <w:t>其中，调整市值＝∑(证券价格×调整股本数×权重因子)。调整股本数的计算方法、除数修正方法参见计算与维护细则。权重因子介于0和1之间，以使单个样本权重不超过10%，前五大样本权重合计不超过40%。</w:t>
      </w:r>
    </w:p>
    <w:p>
      <w:pPr>
        <w:pStyle w:val="21"/>
        <w:adjustRightInd w:val="0"/>
        <w:snapToGrid w:val="0"/>
        <w:ind w:firstLine="480"/>
        <w:rPr>
          <w:sz w:val="24"/>
        </w:rPr>
      </w:pPr>
      <w:r>
        <w:rPr>
          <w:rFonts w:hint="eastAsia"/>
          <w:sz w:val="24"/>
        </w:rPr>
        <w:t>5、指数样本和权重调整</w:t>
      </w:r>
    </w:p>
    <w:p>
      <w:pPr>
        <w:pStyle w:val="21"/>
        <w:adjustRightInd w:val="0"/>
        <w:snapToGrid w:val="0"/>
        <w:ind w:firstLine="480"/>
        <w:rPr>
          <w:sz w:val="24"/>
        </w:rPr>
      </w:pPr>
      <w:r>
        <w:rPr>
          <w:rFonts w:hint="eastAsia"/>
          <w:sz w:val="24"/>
        </w:rPr>
        <w:t>（1）定期调整</w:t>
      </w:r>
    </w:p>
    <w:p>
      <w:pPr>
        <w:pStyle w:val="21"/>
        <w:adjustRightInd w:val="0"/>
        <w:snapToGrid w:val="0"/>
        <w:ind w:firstLine="480"/>
        <w:rPr>
          <w:sz w:val="24"/>
        </w:rPr>
      </w:pPr>
      <w:r>
        <w:rPr>
          <w:rFonts w:hint="eastAsia"/>
          <w:sz w:val="24"/>
        </w:rPr>
        <w:t>指数样本每半年调整一次，样本调整实施时间分别为每年6月和12月的第二个星期五的下一交易日。</w:t>
      </w:r>
    </w:p>
    <w:p>
      <w:pPr>
        <w:pStyle w:val="21"/>
        <w:adjustRightInd w:val="0"/>
        <w:snapToGrid w:val="0"/>
        <w:ind w:firstLine="480"/>
        <w:rPr>
          <w:sz w:val="24"/>
        </w:rPr>
      </w:pPr>
      <w:r>
        <w:rPr>
          <w:rFonts w:hint="eastAsia"/>
          <w:sz w:val="24"/>
        </w:rPr>
        <w:t>权重因子随样本定期调整而调整，调整时间与指数样本定期调整实施时间相同。在下一个定期调整日前，权重因子一般固定不变。定期调整设置缓冲区，在选样方法第2）步，对中证三级行业内排名第二的原样本，若其自由流通市值不低于相应行业内排名第一证券的80%，且符合其他条件，则仍然选取为相应行业的待选样本。定期调整的样本比例一般不超过10%，除非因未成为待选样本而被剔除的原样本数量超过10%。</w:t>
      </w:r>
    </w:p>
    <w:p>
      <w:pPr>
        <w:pStyle w:val="21"/>
        <w:adjustRightInd w:val="0"/>
        <w:snapToGrid w:val="0"/>
        <w:ind w:firstLine="480"/>
        <w:rPr>
          <w:sz w:val="24"/>
        </w:rPr>
      </w:pPr>
      <w:r>
        <w:rPr>
          <w:rFonts w:hint="eastAsia"/>
          <w:sz w:val="24"/>
        </w:rPr>
        <w:t>（2）临时调整</w:t>
      </w:r>
    </w:p>
    <w:p>
      <w:pPr>
        <w:pStyle w:val="21"/>
        <w:adjustRightInd w:val="0"/>
        <w:snapToGrid w:val="0"/>
        <w:ind w:firstLine="480"/>
        <w:rPr>
          <w:sz w:val="24"/>
        </w:rPr>
      </w:pPr>
      <w:r>
        <w:rPr>
          <w:rFonts w:hint="eastAsia"/>
          <w:sz w:val="24"/>
        </w:rPr>
        <w:t>特殊情况下将对指数进行临时调整。当样本退市时，将其从指数样本中剔除。样本公司发生收购、合并、分拆等情形的处理，参照计算与维护细则处理。当沪股通或深股通证券范围发生变动导致样本不再满足互联互通资格时，指数将相应调整。</w:t>
      </w:r>
    </w:p>
    <w:p>
      <w:pPr>
        <w:pStyle w:val="21"/>
        <w:adjustRightInd w:val="0"/>
        <w:snapToGrid w:val="0"/>
        <w:ind w:firstLine="480"/>
        <w:rPr>
          <w:sz w:val="24"/>
        </w:rPr>
      </w:pPr>
      <w:r>
        <w:rPr>
          <w:rFonts w:hint="eastAsia"/>
          <w:sz w:val="24"/>
        </w:rPr>
        <w:t>投资人可以通过中证指数有限公司官网（www.csindex.com.cn）免费查询标的指数信息。</w:t>
      </w:r>
    </w:p>
    <w:p>
      <w:pPr>
        <w:spacing w:line="360" w:lineRule="auto"/>
        <w:jc w:val="center"/>
        <w:rPr>
          <w:rFonts w:ascii="宋体" w:hAnsi="宋体"/>
          <w:b/>
          <w:sz w:val="32"/>
          <w:szCs w:val="32"/>
        </w:rPr>
      </w:pPr>
      <w:bookmarkStart w:id="7" w:name="_Toc413164585"/>
      <w:bookmarkStart w:id="8" w:name="_Toc472089776"/>
      <w:bookmarkStart w:id="9" w:name="_Toc461548854"/>
      <w:bookmarkStart w:id="10" w:name="_Toc479592724"/>
      <w:bookmarkStart w:id="11" w:name="_Toc461548634"/>
      <w:bookmarkStart w:id="12" w:name="_Toc472089836"/>
      <w:bookmarkStart w:id="13" w:name="_Toc461548757"/>
      <w:r>
        <w:rPr>
          <w:rFonts w:hint="eastAsia" w:ascii="宋体" w:hAnsi="宋体"/>
          <w:b/>
          <w:sz w:val="32"/>
          <w:szCs w:val="32"/>
        </w:rPr>
        <w:t xml:space="preserve">目   </w:t>
      </w:r>
      <w:r>
        <w:rPr>
          <w:rFonts w:ascii="宋体" w:hAnsi="宋体"/>
          <w:b/>
          <w:sz w:val="32"/>
          <w:szCs w:val="32"/>
        </w:rPr>
        <w:t xml:space="preserve"> </w:t>
      </w:r>
      <w:r>
        <w:rPr>
          <w:rFonts w:hint="eastAsia" w:ascii="宋体" w:hAnsi="宋体"/>
          <w:b/>
          <w:sz w:val="32"/>
          <w:szCs w:val="32"/>
        </w:rPr>
        <w:t>录</w:t>
      </w:r>
      <w:bookmarkEnd w:id="7"/>
      <w:bookmarkEnd w:id="8"/>
      <w:bookmarkEnd w:id="9"/>
      <w:bookmarkEnd w:id="10"/>
      <w:bookmarkEnd w:id="11"/>
      <w:bookmarkEnd w:id="12"/>
      <w:bookmarkEnd w:id="13"/>
    </w:p>
    <w:p>
      <w:pPr>
        <w:adjustRightInd w:val="0"/>
        <w:snapToGrid w:val="0"/>
        <w:spacing w:line="360" w:lineRule="auto"/>
        <w:jc w:val="center"/>
        <w:rPr>
          <w:rFonts w:ascii="宋体" w:hAnsi="宋体" w:cs="SimSun-Identity-H"/>
          <w:b/>
          <w:sz w:val="28"/>
          <w:szCs w:val="28"/>
        </w:rPr>
      </w:pPr>
    </w:p>
    <w:p>
      <w:pPr>
        <w:pStyle w:val="25"/>
        <w:rPr>
          <w:rFonts w:ascii="宋体" w:cs="Times New Roman"/>
          <w:b w:val="0"/>
          <w:sz w:val="22"/>
          <w:szCs w:val="22"/>
        </w:rPr>
      </w:pPr>
      <w:r>
        <w:rPr>
          <w:rFonts w:ascii="宋体" w:cs="Times New Roman"/>
          <w:b w:val="0"/>
          <w:kern w:val="2"/>
          <w:sz w:val="24"/>
        </w:rPr>
        <w:fldChar w:fldCharType="begin"/>
      </w:r>
      <w:r>
        <w:rPr>
          <w:rStyle w:val="42"/>
          <w:rFonts w:ascii="宋体" w:cs="Times New Roman"/>
          <w:b w:val="0"/>
          <w:kern w:val="2"/>
          <w:sz w:val="24"/>
        </w:rPr>
        <w:instrText xml:space="preserve"> TOC \o "1-1" \h \z \u </w:instrText>
      </w:r>
      <w:r>
        <w:rPr>
          <w:rFonts w:ascii="宋体" w:cs="Times New Roman"/>
          <w:b w:val="0"/>
          <w:kern w:val="2"/>
          <w:sz w:val="24"/>
        </w:rPr>
        <w:fldChar w:fldCharType="separate"/>
      </w:r>
      <w:r>
        <w:fldChar w:fldCharType="begin"/>
      </w:r>
      <w:r>
        <w:instrText xml:space="preserve"> HYPERLINK \l "_Toc103003343" </w:instrText>
      </w:r>
      <w:r>
        <w:fldChar w:fldCharType="separate"/>
      </w:r>
      <w:r>
        <w:rPr>
          <w:rStyle w:val="42"/>
          <w:rFonts w:hint="eastAsia" w:ascii="宋体"/>
        </w:rPr>
        <w:t>第一部分</w:t>
      </w:r>
      <w:r>
        <w:rPr>
          <w:rStyle w:val="42"/>
          <w:rFonts w:ascii="宋体"/>
        </w:rPr>
        <w:t xml:space="preserve">  </w:t>
      </w:r>
      <w:r>
        <w:rPr>
          <w:rStyle w:val="42"/>
          <w:rFonts w:hint="eastAsia" w:ascii="宋体"/>
        </w:rPr>
        <w:t>绪言</w:t>
      </w:r>
      <w:r>
        <w:rPr>
          <w:rFonts w:ascii="宋体"/>
        </w:rPr>
        <w:tab/>
      </w:r>
      <w:r>
        <w:rPr>
          <w:rFonts w:ascii="宋体"/>
        </w:rPr>
        <w:fldChar w:fldCharType="begin"/>
      </w:r>
      <w:r>
        <w:rPr>
          <w:rFonts w:ascii="宋体"/>
        </w:rPr>
        <w:instrText xml:space="preserve"> PAGEREF _Toc103003343 \h </w:instrText>
      </w:r>
      <w:r>
        <w:rPr>
          <w:rFonts w:ascii="宋体"/>
        </w:rPr>
        <w:fldChar w:fldCharType="separate"/>
      </w:r>
      <w:r>
        <w:rPr>
          <w:rFonts w:ascii="宋体"/>
        </w:rPr>
        <w:t>6</w:t>
      </w:r>
      <w:r>
        <w:rPr>
          <w:rFonts w:ascii="宋体"/>
        </w:rPr>
        <w:fldChar w:fldCharType="end"/>
      </w:r>
      <w:r>
        <w:rPr>
          <w:rFonts w:ascii="宋体"/>
        </w:rPr>
        <w:fldChar w:fldCharType="end"/>
      </w:r>
    </w:p>
    <w:p>
      <w:pPr>
        <w:pStyle w:val="25"/>
        <w:rPr>
          <w:rFonts w:ascii="宋体" w:cs="Times New Roman"/>
          <w:b w:val="0"/>
          <w:sz w:val="22"/>
          <w:szCs w:val="22"/>
        </w:rPr>
      </w:pPr>
      <w:r>
        <w:fldChar w:fldCharType="begin"/>
      </w:r>
      <w:r>
        <w:instrText xml:space="preserve"> HYPERLINK \l "_Toc103003344" </w:instrText>
      </w:r>
      <w:r>
        <w:fldChar w:fldCharType="separate"/>
      </w:r>
      <w:r>
        <w:rPr>
          <w:rStyle w:val="42"/>
          <w:rFonts w:hint="eastAsia" w:ascii="宋体"/>
        </w:rPr>
        <w:t>第二部分</w:t>
      </w:r>
      <w:r>
        <w:rPr>
          <w:rStyle w:val="42"/>
          <w:rFonts w:ascii="宋体"/>
        </w:rPr>
        <w:t xml:space="preserve">  </w:t>
      </w:r>
      <w:r>
        <w:rPr>
          <w:rStyle w:val="42"/>
          <w:rFonts w:hint="eastAsia" w:ascii="宋体"/>
        </w:rPr>
        <w:t>释义</w:t>
      </w:r>
      <w:r>
        <w:rPr>
          <w:rFonts w:ascii="宋体"/>
        </w:rPr>
        <w:tab/>
      </w:r>
      <w:r>
        <w:rPr>
          <w:rFonts w:ascii="宋体"/>
        </w:rPr>
        <w:fldChar w:fldCharType="begin"/>
      </w:r>
      <w:r>
        <w:rPr>
          <w:rFonts w:ascii="宋体"/>
        </w:rPr>
        <w:instrText xml:space="preserve"> PAGEREF _Toc103003344 \h </w:instrText>
      </w:r>
      <w:r>
        <w:rPr>
          <w:rFonts w:ascii="宋体"/>
        </w:rPr>
        <w:fldChar w:fldCharType="separate"/>
      </w:r>
      <w:r>
        <w:rPr>
          <w:rFonts w:ascii="宋体"/>
        </w:rPr>
        <w:t>7</w:t>
      </w:r>
      <w:r>
        <w:rPr>
          <w:rFonts w:ascii="宋体"/>
        </w:rPr>
        <w:fldChar w:fldCharType="end"/>
      </w:r>
      <w:r>
        <w:rPr>
          <w:rFonts w:ascii="宋体"/>
        </w:rPr>
        <w:fldChar w:fldCharType="end"/>
      </w:r>
    </w:p>
    <w:p>
      <w:pPr>
        <w:pStyle w:val="25"/>
        <w:rPr>
          <w:rFonts w:ascii="宋体" w:cs="Times New Roman"/>
          <w:b w:val="0"/>
          <w:sz w:val="22"/>
          <w:szCs w:val="22"/>
        </w:rPr>
      </w:pPr>
      <w:r>
        <w:fldChar w:fldCharType="begin"/>
      </w:r>
      <w:r>
        <w:instrText xml:space="preserve"> HYPERLINK \l "_Toc103003345" </w:instrText>
      </w:r>
      <w:r>
        <w:fldChar w:fldCharType="separate"/>
      </w:r>
      <w:r>
        <w:rPr>
          <w:rStyle w:val="42"/>
          <w:rFonts w:hint="eastAsia" w:ascii="宋体"/>
        </w:rPr>
        <w:t>第三部分</w:t>
      </w:r>
      <w:r>
        <w:rPr>
          <w:rStyle w:val="42"/>
          <w:rFonts w:ascii="宋体"/>
        </w:rPr>
        <w:t xml:space="preserve">  </w:t>
      </w:r>
      <w:r>
        <w:rPr>
          <w:rStyle w:val="42"/>
          <w:rFonts w:hint="eastAsia" w:ascii="宋体"/>
        </w:rPr>
        <w:t>基金管理人</w:t>
      </w:r>
      <w:r>
        <w:rPr>
          <w:rFonts w:ascii="宋体"/>
        </w:rPr>
        <w:tab/>
      </w:r>
      <w:r>
        <w:rPr>
          <w:rFonts w:ascii="宋体"/>
        </w:rPr>
        <w:fldChar w:fldCharType="begin"/>
      </w:r>
      <w:r>
        <w:rPr>
          <w:rFonts w:ascii="宋体"/>
        </w:rPr>
        <w:instrText xml:space="preserve"> PAGEREF _Toc103003345 \h </w:instrText>
      </w:r>
      <w:r>
        <w:rPr>
          <w:rFonts w:ascii="宋体"/>
        </w:rPr>
        <w:fldChar w:fldCharType="separate"/>
      </w:r>
      <w:r>
        <w:rPr>
          <w:rFonts w:ascii="宋体"/>
        </w:rPr>
        <w:t>13</w:t>
      </w:r>
      <w:r>
        <w:rPr>
          <w:rFonts w:ascii="宋体"/>
        </w:rPr>
        <w:fldChar w:fldCharType="end"/>
      </w:r>
      <w:r>
        <w:rPr>
          <w:rFonts w:ascii="宋体"/>
        </w:rPr>
        <w:fldChar w:fldCharType="end"/>
      </w:r>
    </w:p>
    <w:p>
      <w:pPr>
        <w:pStyle w:val="25"/>
        <w:rPr>
          <w:rFonts w:ascii="宋体" w:cs="Times New Roman"/>
          <w:b w:val="0"/>
          <w:sz w:val="22"/>
          <w:szCs w:val="22"/>
        </w:rPr>
      </w:pPr>
      <w:r>
        <w:fldChar w:fldCharType="begin"/>
      </w:r>
      <w:r>
        <w:instrText xml:space="preserve"> HYPERLINK \l "_Toc103003346" </w:instrText>
      </w:r>
      <w:r>
        <w:fldChar w:fldCharType="separate"/>
      </w:r>
      <w:r>
        <w:rPr>
          <w:rStyle w:val="42"/>
          <w:rFonts w:hint="eastAsia" w:ascii="宋体"/>
        </w:rPr>
        <w:t>第四部分</w:t>
      </w:r>
      <w:r>
        <w:rPr>
          <w:rStyle w:val="42"/>
          <w:rFonts w:ascii="宋体"/>
        </w:rPr>
        <w:t xml:space="preserve">  </w:t>
      </w:r>
      <w:r>
        <w:rPr>
          <w:rStyle w:val="42"/>
          <w:rFonts w:hint="eastAsia" w:ascii="宋体"/>
        </w:rPr>
        <w:t>基金托管人</w:t>
      </w:r>
      <w:r>
        <w:rPr>
          <w:rFonts w:ascii="宋体"/>
        </w:rPr>
        <w:tab/>
      </w:r>
      <w:r>
        <w:rPr>
          <w:rFonts w:ascii="宋体"/>
        </w:rPr>
        <w:fldChar w:fldCharType="begin"/>
      </w:r>
      <w:r>
        <w:rPr>
          <w:rFonts w:ascii="宋体"/>
        </w:rPr>
        <w:instrText xml:space="preserve"> PAGEREF _Toc103003346 \h </w:instrText>
      </w:r>
      <w:r>
        <w:rPr>
          <w:rFonts w:ascii="宋体"/>
        </w:rPr>
        <w:fldChar w:fldCharType="separate"/>
      </w:r>
      <w:r>
        <w:rPr>
          <w:rFonts w:ascii="宋体"/>
        </w:rPr>
        <w:t>29</w:t>
      </w:r>
      <w:r>
        <w:rPr>
          <w:rFonts w:ascii="宋体"/>
        </w:rPr>
        <w:fldChar w:fldCharType="end"/>
      </w:r>
      <w:r>
        <w:rPr>
          <w:rFonts w:ascii="宋体"/>
        </w:rPr>
        <w:fldChar w:fldCharType="end"/>
      </w:r>
    </w:p>
    <w:p>
      <w:pPr>
        <w:pStyle w:val="25"/>
        <w:rPr>
          <w:rFonts w:ascii="宋体" w:cs="Times New Roman"/>
          <w:b w:val="0"/>
          <w:sz w:val="22"/>
          <w:szCs w:val="22"/>
        </w:rPr>
      </w:pPr>
      <w:r>
        <w:fldChar w:fldCharType="begin"/>
      </w:r>
      <w:r>
        <w:instrText xml:space="preserve"> HYPERLINK \l "_Toc103003347" </w:instrText>
      </w:r>
      <w:r>
        <w:fldChar w:fldCharType="separate"/>
      </w:r>
      <w:r>
        <w:rPr>
          <w:rStyle w:val="42"/>
          <w:rFonts w:hint="eastAsia" w:ascii="宋体"/>
        </w:rPr>
        <w:t>第五部分</w:t>
      </w:r>
      <w:r>
        <w:rPr>
          <w:rStyle w:val="42"/>
          <w:rFonts w:ascii="宋体"/>
        </w:rPr>
        <w:t xml:space="preserve">  </w:t>
      </w:r>
      <w:r>
        <w:rPr>
          <w:rStyle w:val="42"/>
          <w:rFonts w:hint="eastAsia" w:ascii="宋体"/>
        </w:rPr>
        <w:t>相关服务机构</w:t>
      </w:r>
      <w:r>
        <w:rPr>
          <w:rFonts w:ascii="宋体"/>
        </w:rPr>
        <w:tab/>
      </w:r>
      <w:r>
        <w:rPr>
          <w:rFonts w:ascii="宋体"/>
        </w:rPr>
        <w:fldChar w:fldCharType="begin"/>
      </w:r>
      <w:r>
        <w:rPr>
          <w:rFonts w:ascii="宋体"/>
        </w:rPr>
        <w:instrText xml:space="preserve"> PAGEREF _Toc103003347 \h </w:instrText>
      </w:r>
      <w:r>
        <w:rPr>
          <w:rFonts w:ascii="宋体"/>
        </w:rPr>
        <w:fldChar w:fldCharType="separate"/>
      </w:r>
      <w:r>
        <w:rPr>
          <w:rFonts w:ascii="宋体"/>
        </w:rPr>
        <w:t>33</w:t>
      </w:r>
      <w:r>
        <w:rPr>
          <w:rFonts w:ascii="宋体"/>
        </w:rPr>
        <w:fldChar w:fldCharType="end"/>
      </w:r>
      <w:r>
        <w:rPr>
          <w:rFonts w:ascii="宋体"/>
        </w:rPr>
        <w:fldChar w:fldCharType="end"/>
      </w:r>
    </w:p>
    <w:p>
      <w:pPr>
        <w:pStyle w:val="25"/>
        <w:rPr>
          <w:rFonts w:ascii="宋体" w:cs="Times New Roman"/>
          <w:b w:val="0"/>
          <w:sz w:val="22"/>
          <w:szCs w:val="22"/>
        </w:rPr>
      </w:pPr>
      <w:r>
        <w:fldChar w:fldCharType="begin"/>
      </w:r>
      <w:r>
        <w:instrText xml:space="preserve"> HYPERLINK \l "_Toc103003348" </w:instrText>
      </w:r>
      <w:r>
        <w:fldChar w:fldCharType="separate"/>
      </w:r>
      <w:r>
        <w:rPr>
          <w:rStyle w:val="42"/>
          <w:rFonts w:hint="eastAsia" w:ascii="宋体"/>
        </w:rPr>
        <w:t>第六部分</w:t>
      </w:r>
      <w:r>
        <w:rPr>
          <w:rStyle w:val="42"/>
          <w:rFonts w:ascii="宋体"/>
        </w:rPr>
        <w:t xml:space="preserve">  </w:t>
      </w:r>
      <w:r>
        <w:rPr>
          <w:rStyle w:val="42"/>
          <w:rFonts w:hint="eastAsia" w:ascii="宋体"/>
        </w:rPr>
        <w:t>基金的募集</w:t>
      </w:r>
      <w:r>
        <w:rPr>
          <w:rFonts w:ascii="宋体"/>
        </w:rPr>
        <w:tab/>
      </w:r>
      <w:r>
        <w:rPr>
          <w:rFonts w:ascii="宋体"/>
        </w:rPr>
        <w:fldChar w:fldCharType="begin"/>
      </w:r>
      <w:r>
        <w:rPr>
          <w:rFonts w:ascii="宋体"/>
        </w:rPr>
        <w:instrText xml:space="preserve"> PAGEREF _Toc103003348 \h </w:instrText>
      </w:r>
      <w:r>
        <w:rPr>
          <w:rFonts w:ascii="宋体"/>
        </w:rPr>
        <w:fldChar w:fldCharType="separate"/>
      </w:r>
      <w:r>
        <w:rPr>
          <w:rFonts w:ascii="宋体"/>
        </w:rPr>
        <w:t>35</w:t>
      </w:r>
      <w:r>
        <w:rPr>
          <w:rFonts w:ascii="宋体"/>
        </w:rPr>
        <w:fldChar w:fldCharType="end"/>
      </w:r>
      <w:r>
        <w:rPr>
          <w:rFonts w:ascii="宋体"/>
        </w:rPr>
        <w:fldChar w:fldCharType="end"/>
      </w:r>
    </w:p>
    <w:p>
      <w:pPr>
        <w:pStyle w:val="25"/>
        <w:rPr>
          <w:rFonts w:ascii="宋体" w:cs="Times New Roman"/>
          <w:b w:val="0"/>
          <w:sz w:val="22"/>
          <w:szCs w:val="22"/>
        </w:rPr>
      </w:pPr>
      <w:r>
        <w:fldChar w:fldCharType="begin"/>
      </w:r>
      <w:r>
        <w:instrText xml:space="preserve"> HYPERLINK \l "_Toc103003349" </w:instrText>
      </w:r>
      <w:r>
        <w:fldChar w:fldCharType="separate"/>
      </w:r>
      <w:r>
        <w:rPr>
          <w:rStyle w:val="42"/>
          <w:rFonts w:hint="eastAsia" w:ascii="宋体"/>
        </w:rPr>
        <w:t>第七部分</w:t>
      </w:r>
      <w:r>
        <w:rPr>
          <w:rStyle w:val="42"/>
          <w:rFonts w:ascii="宋体"/>
        </w:rPr>
        <w:t xml:space="preserve">  </w:t>
      </w:r>
      <w:r>
        <w:rPr>
          <w:rStyle w:val="42"/>
          <w:rFonts w:hint="eastAsia" w:ascii="宋体"/>
        </w:rPr>
        <w:t>基金合同的生效</w:t>
      </w:r>
      <w:r>
        <w:rPr>
          <w:rFonts w:ascii="宋体"/>
        </w:rPr>
        <w:tab/>
      </w:r>
      <w:r>
        <w:rPr>
          <w:rFonts w:ascii="宋体"/>
        </w:rPr>
        <w:fldChar w:fldCharType="begin"/>
      </w:r>
      <w:r>
        <w:rPr>
          <w:rFonts w:ascii="宋体"/>
        </w:rPr>
        <w:instrText xml:space="preserve"> PAGEREF _Toc103003349 \h </w:instrText>
      </w:r>
      <w:r>
        <w:rPr>
          <w:rFonts w:ascii="宋体"/>
        </w:rPr>
        <w:fldChar w:fldCharType="separate"/>
      </w:r>
      <w:r>
        <w:rPr>
          <w:rFonts w:ascii="宋体"/>
        </w:rPr>
        <w:t>41</w:t>
      </w:r>
      <w:r>
        <w:rPr>
          <w:rFonts w:ascii="宋体"/>
        </w:rPr>
        <w:fldChar w:fldCharType="end"/>
      </w:r>
      <w:r>
        <w:rPr>
          <w:rFonts w:ascii="宋体"/>
        </w:rPr>
        <w:fldChar w:fldCharType="end"/>
      </w:r>
    </w:p>
    <w:p>
      <w:pPr>
        <w:pStyle w:val="25"/>
        <w:rPr>
          <w:rFonts w:ascii="宋体" w:cs="Times New Roman"/>
          <w:b w:val="0"/>
          <w:sz w:val="22"/>
          <w:szCs w:val="22"/>
        </w:rPr>
      </w:pPr>
      <w:r>
        <w:fldChar w:fldCharType="begin"/>
      </w:r>
      <w:r>
        <w:instrText xml:space="preserve"> HYPERLINK \l "_Toc103003350" </w:instrText>
      </w:r>
      <w:r>
        <w:fldChar w:fldCharType="separate"/>
      </w:r>
      <w:r>
        <w:rPr>
          <w:rStyle w:val="42"/>
          <w:rFonts w:hint="eastAsia" w:ascii="宋体"/>
        </w:rPr>
        <w:t>第八部分</w:t>
      </w:r>
      <w:r>
        <w:rPr>
          <w:rStyle w:val="42"/>
          <w:rFonts w:ascii="宋体"/>
        </w:rPr>
        <w:t xml:space="preserve">  </w:t>
      </w:r>
      <w:r>
        <w:rPr>
          <w:rStyle w:val="42"/>
          <w:rFonts w:hint="eastAsia" w:ascii="宋体"/>
        </w:rPr>
        <w:t>基金份额的申购与赎回</w:t>
      </w:r>
      <w:r>
        <w:rPr>
          <w:rFonts w:ascii="宋体"/>
        </w:rPr>
        <w:tab/>
      </w:r>
      <w:r>
        <w:rPr>
          <w:rFonts w:ascii="宋体"/>
        </w:rPr>
        <w:fldChar w:fldCharType="begin"/>
      </w:r>
      <w:r>
        <w:rPr>
          <w:rFonts w:ascii="宋体"/>
        </w:rPr>
        <w:instrText xml:space="preserve"> PAGEREF _Toc103003350 \h </w:instrText>
      </w:r>
      <w:r>
        <w:rPr>
          <w:rFonts w:ascii="宋体"/>
        </w:rPr>
        <w:fldChar w:fldCharType="separate"/>
      </w:r>
      <w:r>
        <w:rPr>
          <w:rFonts w:ascii="宋体"/>
        </w:rPr>
        <w:t>42</w:t>
      </w:r>
      <w:r>
        <w:rPr>
          <w:rFonts w:ascii="宋体"/>
        </w:rPr>
        <w:fldChar w:fldCharType="end"/>
      </w:r>
      <w:r>
        <w:rPr>
          <w:rFonts w:ascii="宋体"/>
        </w:rPr>
        <w:fldChar w:fldCharType="end"/>
      </w:r>
    </w:p>
    <w:p>
      <w:pPr>
        <w:pStyle w:val="25"/>
        <w:rPr>
          <w:rFonts w:ascii="宋体" w:cs="Times New Roman"/>
          <w:b w:val="0"/>
          <w:sz w:val="22"/>
          <w:szCs w:val="22"/>
        </w:rPr>
      </w:pPr>
      <w:r>
        <w:fldChar w:fldCharType="begin"/>
      </w:r>
      <w:r>
        <w:instrText xml:space="preserve"> HYPERLINK \l "_Toc103003351" </w:instrText>
      </w:r>
      <w:r>
        <w:fldChar w:fldCharType="separate"/>
      </w:r>
      <w:r>
        <w:rPr>
          <w:rStyle w:val="42"/>
          <w:rFonts w:hint="eastAsia" w:ascii="宋体"/>
        </w:rPr>
        <w:t>第九部分</w:t>
      </w:r>
      <w:r>
        <w:rPr>
          <w:rStyle w:val="42"/>
          <w:rFonts w:ascii="宋体"/>
        </w:rPr>
        <w:t xml:space="preserve">  </w:t>
      </w:r>
      <w:r>
        <w:rPr>
          <w:rStyle w:val="42"/>
          <w:rFonts w:hint="eastAsia" w:ascii="宋体"/>
        </w:rPr>
        <w:t>基金的投资</w:t>
      </w:r>
      <w:r>
        <w:rPr>
          <w:rFonts w:ascii="宋体"/>
        </w:rPr>
        <w:tab/>
      </w:r>
      <w:r>
        <w:rPr>
          <w:rFonts w:ascii="宋体"/>
        </w:rPr>
        <w:fldChar w:fldCharType="begin"/>
      </w:r>
      <w:r>
        <w:rPr>
          <w:rFonts w:ascii="宋体"/>
        </w:rPr>
        <w:instrText xml:space="preserve"> PAGEREF _Toc103003351 \h </w:instrText>
      </w:r>
      <w:r>
        <w:rPr>
          <w:rFonts w:ascii="宋体"/>
        </w:rPr>
        <w:fldChar w:fldCharType="separate"/>
      </w:r>
      <w:r>
        <w:rPr>
          <w:rFonts w:ascii="宋体"/>
        </w:rPr>
        <w:t>55</w:t>
      </w:r>
      <w:r>
        <w:rPr>
          <w:rFonts w:ascii="宋体"/>
        </w:rPr>
        <w:fldChar w:fldCharType="end"/>
      </w:r>
      <w:r>
        <w:rPr>
          <w:rFonts w:ascii="宋体"/>
        </w:rPr>
        <w:fldChar w:fldCharType="end"/>
      </w:r>
    </w:p>
    <w:p>
      <w:pPr>
        <w:pStyle w:val="25"/>
        <w:rPr>
          <w:rFonts w:ascii="宋体" w:cs="Times New Roman"/>
          <w:b w:val="0"/>
          <w:sz w:val="22"/>
          <w:szCs w:val="22"/>
        </w:rPr>
      </w:pPr>
      <w:r>
        <w:fldChar w:fldCharType="begin"/>
      </w:r>
      <w:r>
        <w:instrText xml:space="preserve"> HYPERLINK \l "_Toc103003352" </w:instrText>
      </w:r>
      <w:r>
        <w:fldChar w:fldCharType="separate"/>
      </w:r>
      <w:r>
        <w:rPr>
          <w:rStyle w:val="42"/>
          <w:rFonts w:hint="eastAsia" w:ascii="宋体"/>
        </w:rPr>
        <w:t>第十部分</w:t>
      </w:r>
      <w:r>
        <w:rPr>
          <w:rStyle w:val="42"/>
          <w:rFonts w:ascii="宋体"/>
        </w:rPr>
        <w:t xml:space="preserve">  </w:t>
      </w:r>
      <w:r>
        <w:rPr>
          <w:rStyle w:val="42"/>
          <w:rFonts w:hint="eastAsia" w:ascii="宋体"/>
        </w:rPr>
        <w:t>基金的财产</w:t>
      </w:r>
      <w:r>
        <w:rPr>
          <w:rFonts w:ascii="宋体"/>
        </w:rPr>
        <w:tab/>
      </w:r>
      <w:r>
        <w:rPr>
          <w:rFonts w:ascii="宋体"/>
        </w:rPr>
        <w:fldChar w:fldCharType="begin"/>
      </w:r>
      <w:r>
        <w:rPr>
          <w:rFonts w:ascii="宋体"/>
        </w:rPr>
        <w:instrText xml:space="preserve"> PAGEREF _Toc103003352 \h </w:instrText>
      </w:r>
      <w:r>
        <w:rPr>
          <w:rFonts w:ascii="宋体"/>
        </w:rPr>
        <w:fldChar w:fldCharType="separate"/>
      </w:r>
      <w:r>
        <w:rPr>
          <w:rFonts w:ascii="宋体"/>
        </w:rPr>
        <w:t>65</w:t>
      </w:r>
      <w:r>
        <w:rPr>
          <w:rFonts w:ascii="宋体"/>
        </w:rPr>
        <w:fldChar w:fldCharType="end"/>
      </w:r>
      <w:r>
        <w:rPr>
          <w:rFonts w:ascii="宋体"/>
        </w:rPr>
        <w:fldChar w:fldCharType="end"/>
      </w:r>
    </w:p>
    <w:p>
      <w:pPr>
        <w:pStyle w:val="25"/>
        <w:rPr>
          <w:rFonts w:ascii="宋体" w:cs="Times New Roman"/>
          <w:b w:val="0"/>
          <w:sz w:val="22"/>
          <w:szCs w:val="22"/>
        </w:rPr>
      </w:pPr>
      <w:r>
        <w:fldChar w:fldCharType="begin"/>
      </w:r>
      <w:r>
        <w:instrText xml:space="preserve"> HYPERLINK \l "_Toc103003353" </w:instrText>
      </w:r>
      <w:r>
        <w:fldChar w:fldCharType="separate"/>
      </w:r>
      <w:r>
        <w:rPr>
          <w:rStyle w:val="42"/>
          <w:rFonts w:hint="eastAsia" w:ascii="宋体"/>
        </w:rPr>
        <w:t>第十一部分</w:t>
      </w:r>
      <w:r>
        <w:rPr>
          <w:rStyle w:val="42"/>
          <w:rFonts w:ascii="宋体"/>
        </w:rPr>
        <w:t xml:space="preserve">  </w:t>
      </w:r>
      <w:r>
        <w:rPr>
          <w:rStyle w:val="42"/>
          <w:rFonts w:hint="eastAsia" w:ascii="宋体"/>
        </w:rPr>
        <w:t>基金资产估值</w:t>
      </w:r>
      <w:r>
        <w:rPr>
          <w:rFonts w:ascii="宋体"/>
        </w:rPr>
        <w:tab/>
      </w:r>
      <w:r>
        <w:rPr>
          <w:rFonts w:ascii="宋体"/>
        </w:rPr>
        <w:fldChar w:fldCharType="begin"/>
      </w:r>
      <w:r>
        <w:rPr>
          <w:rFonts w:ascii="宋体"/>
        </w:rPr>
        <w:instrText xml:space="preserve"> PAGEREF _Toc103003353 \h </w:instrText>
      </w:r>
      <w:r>
        <w:rPr>
          <w:rFonts w:ascii="宋体"/>
        </w:rPr>
        <w:fldChar w:fldCharType="separate"/>
      </w:r>
      <w:r>
        <w:rPr>
          <w:rFonts w:ascii="宋体"/>
        </w:rPr>
        <w:t>66</w:t>
      </w:r>
      <w:r>
        <w:rPr>
          <w:rFonts w:ascii="宋体"/>
        </w:rPr>
        <w:fldChar w:fldCharType="end"/>
      </w:r>
      <w:r>
        <w:rPr>
          <w:rFonts w:ascii="宋体"/>
        </w:rPr>
        <w:fldChar w:fldCharType="end"/>
      </w:r>
    </w:p>
    <w:p>
      <w:pPr>
        <w:pStyle w:val="25"/>
        <w:rPr>
          <w:rFonts w:ascii="宋体" w:cs="Times New Roman"/>
          <w:b w:val="0"/>
          <w:sz w:val="22"/>
          <w:szCs w:val="22"/>
        </w:rPr>
      </w:pPr>
      <w:r>
        <w:fldChar w:fldCharType="begin"/>
      </w:r>
      <w:r>
        <w:instrText xml:space="preserve"> HYPERLINK \l "_Toc103003354" </w:instrText>
      </w:r>
      <w:r>
        <w:fldChar w:fldCharType="separate"/>
      </w:r>
      <w:r>
        <w:rPr>
          <w:rStyle w:val="42"/>
          <w:rFonts w:hint="eastAsia" w:ascii="宋体"/>
        </w:rPr>
        <w:t>第十二部分</w:t>
      </w:r>
      <w:r>
        <w:rPr>
          <w:rStyle w:val="42"/>
          <w:rFonts w:ascii="宋体"/>
        </w:rPr>
        <w:t xml:space="preserve">  </w:t>
      </w:r>
      <w:r>
        <w:rPr>
          <w:rStyle w:val="42"/>
          <w:rFonts w:hint="eastAsia" w:ascii="宋体"/>
        </w:rPr>
        <w:t>基金的费用与税收</w:t>
      </w:r>
      <w:r>
        <w:rPr>
          <w:rFonts w:ascii="宋体"/>
        </w:rPr>
        <w:tab/>
      </w:r>
      <w:r>
        <w:rPr>
          <w:rFonts w:ascii="宋体"/>
        </w:rPr>
        <w:fldChar w:fldCharType="begin"/>
      </w:r>
      <w:r>
        <w:rPr>
          <w:rFonts w:ascii="宋体"/>
        </w:rPr>
        <w:instrText xml:space="preserve"> PAGEREF _Toc103003354 \h </w:instrText>
      </w:r>
      <w:r>
        <w:rPr>
          <w:rFonts w:ascii="宋体"/>
        </w:rPr>
        <w:fldChar w:fldCharType="separate"/>
      </w:r>
      <w:r>
        <w:rPr>
          <w:rFonts w:ascii="宋体"/>
        </w:rPr>
        <w:t>73</w:t>
      </w:r>
      <w:r>
        <w:rPr>
          <w:rFonts w:ascii="宋体"/>
        </w:rPr>
        <w:fldChar w:fldCharType="end"/>
      </w:r>
      <w:r>
        <w:rPr>
          <w:rFonts w:ascii="宋体"/>
        </w:rPr>
        <w:fldChar w:fldCharType="end"/>
      </w:r>
    </w:p>
    <w:p>
      <w:pPr>
        <w:pStyle w:val="25"/>
        <w:rPr>
          <w:rFonts w:ascii="宋体" w:cs="Times New Roman"/>
          <w:b w:val="0"/>
          <w:sz w:val="22"/>
          <w:szCs w:val="22"/>
        </w:rPr>
      </w:pPr>
      <w:r>
        <w:fldChar w:fldCharType="begin"/>
      </w:r>
      <w:r>
        <w:instrText xml:space="preserve"> HYPERLINK \l "_Toc103003355" </w:instrText>
      </w:r>
      <w:r>
        <w:fldChar w:fldCharType="separate"/>
      </w:r>
      <w:r>
        <w:rPr>
          <w:rStyle w:val="42"/>
          <w:rFonts w:hint="eastAsia" w:ascii="宋体"/>
        </w:rPr>
        <w:t>第十三部分</w:t>
      </w:r>
      <w:r>
        <w:rPr>
          <w:rStyle w:val="42"/>
          <w:rFonts w:ascii="宋体"/>
        </w:rPr>
        <w:t xml:space="preserve">  </w:t>
      </w:r>
      <w:r>
        <w:rPr>
          <w:rStyle w:val="42"/>
          <w:rFonts w:hint="eastAsia" w:ascii="宋体"/>
        </w:rPr>
        <w:t>基金的收益与分配</w:t>
      </w:r>
      <w:r>
        <w:rPr>
          <w:rFonts w:ascii="宋体"/>
        </w:rPr>
        <w:tab/>
      </w:r>
      <w:r>
        <w:rPr>
          <w:rFonts w:ascii="宋体"/>
        </w:rPr>
        <w:fldChar w:fldCharType="begin"/>
      </w:r>
      <w:r>
        <w:rPr>
          <w:rFonts w:ascii="宋体"/>
        </w:rPr>
        <w:instrText xml:space="preserve"> PAGEREF _Toc103003355 \h </w:instrText>
      </w:r>
      <w:r>
        <w:rPr>
          <w:rFonts w:ascii="宋体"/>
        </w:rPr>
        <w:fldChar w:fldCharType="separate"/>
      </w:r>
      <w:r>
        <w:rPr>
          <w:rFonts w:ascii="宋体"/>
        </w:rPr>
        <w:t>76</w:t>
      </w:r>
      <w:r>
        <w:rPr>
          <w:rFonts w:ascii="宋体"/>
        </w:rPr>
        <w:fldChar w:fldCharType="end"/>
      </w:r>
      <w:r>
        <w:rPr>
          <w:rFonts w:ascii="宋体"/>
        </w:rPr>
        <w:fldChar w:fldCharType="end"/>
      </w:r>
    </w:p>
    <w:p>
      <w:pPr>
        <w:pStyle w:val="25"/>
        <w:rPr>
          <w:rFonts w:ascii="宋体" w:cs="Times New Roman"/>
          <w:b w:val="0"/>
          <w:sz w:val="22"/>
          <w:szCs w:val="22"/>
        </w:rPr>
      </w:pPr>
      <w:r>
        <w:fldChar w:fldCharType="begin"/>
      </w:r>
      <w:r>
        <w:instrText xml:space="preserve"> HYPERLINK \l "_Toc103003356" </w:instrText>
      </w:r>
      <w:r>
        <w:fldChar w:fldCharType="separate"/>
      </w:r>
      <w:r>
        <w:rPr>
          <w:rStyle w:val="42"/>
          <w:rFonts w:hint="eastAsia" w:ascii="宋体"/>
        </w:rPr>
        <w:t>第十四部分</w:t>
      </w:r>
      <w:r>
        <w:rPr>
          <w:rStyle w:val="42"/>
          <w:rFonts w:ascii="宋体"/>
        </w:rPr>
        <w:t xml:space="preserve">  </w:t>
      </w:r>
      <w:r>
        <w:rPr>
          <w:rStyle w:val="42"/>
          <w:rFonts w:hint="eastAsia" w:ascii="宋体"/>
        </w:rPr>
        <w:t>基金的会计与审计</w:t>
      </w:r>
      <w:r>
        <w:rPr>
          <w:rFonts w:ascii="宋体"/>
        </w:rPr>
        <w:tab/>
      </w:r>
      <w:r>
        <w:rPr>
          <w:rFonts w:ascii="宋体"/>
        </w:rPr>
        <w:fldChar w:fldCharType="begin"/>
      </w:r>
      <w:r>
        <w:rPr>
          <w:rFonts w:ascii="宋体"/>
        </w:rPr>
        <w:instrText xml:space="preserve"> PAGEREF _Toc103003356 \h </w:instrText>
      </w:r>
      <w:r>
        <w:rPr>
          <w:rFonts w:ascii="宋体"/>
        </w:rPr>
        <w:fldChar w:fldCharType="separate"/>
      </w:r>
      <w:r>
        <w:rPr>
          <w:rFonts w:ascii="宋体"/>
        </w:rPr>
        <w:t>78</w:t>
      </w:r>
      <w:r>
        <w:rPr>
          <w:rFonts w:ascii="宋体"/>
        </w:rPr>
        <w:fldChar w:fldCharType="end"/>
      </w:r>
      <w:r>
        <w:rPr>
          <w:rFonts w:ascii="宋体"/>
        </w:rPr>
        <w:fldChar w:fldCharType="end"/>
      </w:r>
    </w:p>
    <w:p>
      <w:pPr>
        <w:pStyle w:val="25"/>
        <w:rPr>
          <w:rFonts w:ascii="宋体" w:cs="Times New Roman"/>
          <w:b w:val="0"/>
          <w:sz w:val="22"/>
          <w:szCs w:val="22"/>
        </w:rPr>
      </w:pPr>
      <w:r>
        <w:fldChar w:fldCharType="begin"/>
      </w:r>
      <w:r>
        <w:instrText xml:space="preserve"> HYPERLINK \l "_Toc103003357" </w:instrText>
      </w:r>
      <w:r>
        <w:fldChar w:fldCharType="separate"/>
      </w:r>
      <w:r>
        <w:rPr>
          <w:rStyle w:val="42"/>
          <w:rFonts w:hint="eastAsia" w:ascii="宋体"/>
        </w:rPr>
        <w:t>第十五部分</w:t>
      </w:r>
      <w:r>
        <w:rPr>
          <w:rStyle w:val="42"/>
          <w:rFonts w:ascii="宋体"/>
        </w:rPr>
        <w:t xml:space="preserve">  </w:t>
      </w:r>
      <w:r>
        <w:rPr>
          <w:rStyle w:val="42"/>
          <w:rFonts w:hint="eastAsia" w:ascii="宋体"/>
        </w:rPr>
        <w:t>基金的信息披露</w:t>
      </w:r>
      <w:r>
        <w:rPr>
          <w:rFonts w:ascii="宋体"/>
        </w:rPr>
        <w:tab/>
      </w:r>
      <w:r>
        <w:rPr>
          <w:rFonts w:ascii="宋体"/>
        </w:rPr>
        <w:fldChar w:fldCharType="begin"/>
      </w:r>
      <w:r>
        <w:rPr>
          <w:rFonts w:ascii="宋体"/>
        </w:rPr>
        <w:instrText xml:space="preserve"> PAGEREF _Toc103003357 \h </w:instrText>
      </w:r>
      <w:r>
        <w:rPr>
          <w:rFonts w:ascii="宋体"/>
        </w:rPr>
        <w:fldChar w:fldCharType="separate"/>
      </w:r>
      <w:r>
        <w:rPr>
          <w:rFonts w:ascii="宋体"/>
        </w:rPr>
        <w:t>79</w:t>
      </w:r>
      <w:r>
        <w:rPr>
          <w:rFonts w:ascii="宋体"/>
        </w:rPr>
        <w:fldChar w:fldCharType="end"/>
      </w:r>
      <w:r>
        <w:rPr>
          <w:rFonts w:ascii="宋体"/>
        </w:rPr>
        <w:fldChar w:fldCharType="end"/>
      </w:r>
    </w:p>
    <w:p>
      <w:pPr>
        <w:pStyle w:val="25"/>
        <w:rPr>
          <w:rFonts w:ascii="宋体" w:cs="Times New Roman"/>
          <w:b w:val="0"/>
          <w:sz w:val="22"/>
          <w:szCs w:val="22"/>
        </w:rPr>
      </w:pPr>
      <w:r>
        <w:fldChar w:fldCharType="begin"/>
      </w:r>
      <w:r>
        <w:instrText xml:space="preserve"> HYPERLINK \l "_Toc103003358" </w:instrText>
      </w:r>
      <w:r>
        <w:fldChar w:fldCharType="separate"/>
      </w:r>
      <w:r>
        <w:rPr>
          <w:rStyle w:val="42"/>
          <w:rFonts w:hint="eastAsia" w:ascii="宋体"/>
          <w:bCs/>
          <w:kern w:val="32"/>
        </w:rPr>
        <w:t>第十六部分</w:t>
      </w:r>
      <w:r>
        <w:rPr>
          <w:rStyle w:val="42"/>
          <w:rFonts w:ascii="宋体"/>
          <w:bCs/>
          <w:kern w:val="32"/>
        </w:rPr>
        <w:t xml:space="preserve">  </w:t>
      </w:r>
      <w:r>
        <w:rPr>
          <w:rStyle w:val="42"/>
          <w:rFonts w:hint="eastAsia" w:ascii="宋体"/>
          <w:bCs/>
          <w:kern w:val="32"/>
        </w:rPr>
        <w:t>侧袋机制</w:t>
      </w:r>
      <w:r>
        <w:rPr>
          <w:rFonts w:ascii="宋体"/>
        </w:rPr>
        <w:tab/>
      </w:r>
      <w:r>
        <w:rPr>
          <w:rFonts w:ascii="宋体"/>
        </w:rPr>
        <w:fldChar w:fldCharType="begin"/>
      </w:r>
      <w:r>
        <w:rPr>
          <w:rFonts w:ascii="宋体"/>
        </w:rPr>
        <w:instrText xml:space="preserve"> PAGEREF _Toc103003358 \h </w:instrText>
      </w:r>
      <w:r>
        <w:rPr>
          <w:rFonts w:ascii="宋体"/>
        </w:rPr>
        <w:fldChar w:fldCharType="separate"/>
      </w:r>
      <w:r>
        <w:rPr>
          <w:rFonts w:ascii="宋体"/>
        </w:rPr>
        <w:t>87</w:t>
      </w:r>
      <w:r>
        <w:rPr>
          <w:rFonts w:ascii="宋体"/>
        </w:rPr>
        <w:fldChar w:fldCharType="end"/>
      </w:r>
      <w:r>
        <w:rPr>
          <w:rFonts w:ascii="宋体"/>
        </w:rPr>
        <w:fldChar w:fldCharType="end"/>
      </w:r>
    </w:p>
    <w:p>
      <w:pPr>
        <w:pStyle w:val="25"/>
        <w:rPr>
          <w:rFonts w:ascii="宋体" w:cs="Times New Roman"/>
          <w:b w:val="0"/>
          <w:sz w:val="22"/>
          <w:szCs w:val="22"/>
        </w:rPr>
      </w:pPr>
      <w:r>
        <w:fldChar w:fldCharType="begin"/>
      </w:r>
      <w:r>
        <w:instrText xml:space="preserve"> HYPERLINK \l "_Toc103003359" </w:instrText>
      </w:r>
      <w:r>
        <w:fldChar w:fldCharType="separate"/>
      </w:r>
      <w:r>
        <w:rPr>
          <w:rStyle w:val="42"/>
          <w:rFonts w:hint="eastAsia" w:ascii="宋体"/>
        </w:rPr>
        <w:t>第十七部分</w:t>
      </w:r>
      <w:r>
        <w:rPr>
          <w:rStyle w:val="42"/>
          <w:rFonts w:ascii="宋体"/>
        </w:rPr>
        <w:t xml:space="preserve">  </w:t>
      </w:r>
      <w:r>
        <w:rPr>
          <w:rStyle w:val="42"/>
          <w:rFonts w:hint="eastAsia" w:ascii="宋体"/>
        </w:rPr>
        <w:t>风险揭示</w:t>
      </w:r>
      <w:r>
        <w:rPr>
          <w:rFonts w:ascii="宋体"/>
        </w:rPr>
        <w:tab/>
      </w:r>
      <w:r>
        <w:rPr>
          <w:rFonts w:ascii="宋体"/>
        </w:rPr>
        <w:fldChar w:fldCharType="begin"/>
      </w:r>
      <w:r>
        <w:rPr>
          <w:rFonts w:ascii="宋体"/>
        </w:rPr>
        <w:instrText xml:space="preserve"> PAGEREF _Toc103003359 \h </w:instrText>
      </w:r>
      <w:r>
        <w:rPr>
          <w:rFonts w:ascii="宋体"/>
        </w:rPr>
        <w:fldChar w:fldCharType="separate"/>
      </w:r>
      <w:r>
        <w:rPr>
          <w:rFonts w:ascii="宋体"/>
        </w:rPr>
        <w:t>90</w:t>
      </w:r>
      <w:r>
        <w:rPr>
          <w:rFonts w:ascii="宋体"/>
        </w:rPr>
        <w:fldChar w:fldCharType="end"/>
      </w:r>
      <w:r>
        <w:rPr>
          <w:rFonts w:ascii="宋体"/>
        </w:rPr>
        <w:fldChar w:fldCharType="end"/>
      </w:r>
    </w:p>
    <w:p>
      <w:pPr>
        <w:pStyle w:val="25"/>
        <w:rPr>
          <w:rFonts w:ascii="宋体" w:cs="Times New Roman"/>
          <w:b w:val="0"/>
          <w:sz w:val="22"/>
          <w:szCs w:val="22"/>
        </w:rPr>
      </w:pPr>
      <w:r>
        <w:fldChar w:fldCharType="begin"/>
      </w:r>
      <w:r>
        <w:instrText xml:space="preserve"> HYPERLINK \l "_Toc103003360" </w:instrText>
      </w:r>
      <w:r>
        <w:fldChar w:fldCharType="separate"/>
      </w:r>
      <w:r>
        <w:rPr>
          <w:rStyle w:val="42"/>
          <w:rFonts w:hint="eastAsia" w:ascii="宋体"/>
        </w:rPr>
        <w:t>第十八部分</w:t>
      </w:r>
      <w:r>
        <w:rPr>
          <w:rStyle w:val="42"/>
          <w:rFonts w:ascii="宋体"/>
        </w:rPr>
        <w:t xml:space="preserve">  </w:t>
      </w:r>
      <w:r>
        <w:rPr>
          <w:rStyle w:val="42"/>
          <w:rFonts w:hint="eastAsia" w:ascii="宋体"/>
        </w:rPr>
        <w:t>基金合同的变更、终止与基金财产的清算</w:t>
      </w:r>
      <w:r>
        <w:rPr>
          <w:rFonts w:ascii="宋体"/>
        </w:rPr>
        <w:tab/>
      </w:r>
      <w:r>
        <w:rPr>
          <w:rFonts w:ascii="宋体"/>
        </w:rPr>
        <w:fldChar w:fldCharType="begin"/>
      </w:r>
      <w:r>
        <w:rPr>
          <w:rFonts w:ascii="宋体"/>
        </w:rPr>
        <w:instrText xml:space="preserve"> PAGEREF _Toc103003360 \h </w:instrText>
      </w:r>
      <w:r>
        <w:rPr>
          <w:rFonts w:ascii="宋体"/>
        </w:rPr>
        <w:fldChar w:fldCharType="separate"/>
      </w:r>
      <w:r>
        <w:rPr>
          <w:rFonts w:ascii="宋体"/>
        </w:rPr>
        <w:t>101</w:t>
      </w:r>
      <w:r>
        <w:rPr>
          <w:rFonts w:ascii="宋体"/>
        </w:rPr>
        <w:fldChar w:fldCharType="end"/>
      </w:r>
      <w:r>
        <w:rPr>
          <w:rFonts w:ascii="宋体"/>
        </w:rPr>
        <w:fldChar w:fldCharType="end"/>
      </w:r>
    </w:p>
    <w:p>
      <w:pPr>
        <w:pStyle w:val="25"/>
        <w:rPr>
          <w:rFonts w:ascii="宋体" w:cs="Times New Roman"/>
          <w:b w:val="0"/>
          <w:sz w:val="22"/>
          <w:szCs w:val="22"/>
        </w:rPr>
      </w:pPr>
      <w:r>
        <w:fldChar w:fldCharType="begin"/>
      </w:r>
      <w:r>
        <w:instrText xml:space="preserve"> HYPERLINK \l "_Toc103003361" </w:instrText>
      </w:r>
      <w:r>
        <w:fldChar w:fldCharType="separate"/>
      </w:r>
      <w:r>
        <w:rPr>
          <w:rStyle w:val="42"/>
          <w:rFonts w:hint="eastAsia" w:ascii="宋体"/>
        </w:rPr>
        <w:t>第十九部分</w:t>
      </w:r>
      <w:r>
        <w:rPr>
          <w:rStyle w:val="42"/>
          <w:rFonts w:ascii="宋体"/>
        </w:rPr>
        <w:t xml:space="preserve">  </w:t>
      </w:r>
      <w:r>
        <w:rPr>
          <w:rStyle w:val="42"/>
          <w:rFonts w:hint="eastAsia" w:ascii="宋体"/>
        </w:rPr>
        <w:t>基金合同的内容摘要</w:t>
      </w:r>
      <w:r>
        <w:rPr>
          <w:rFonts w:ascii="宋体"/>
        </w:rPr>
        <w:tab/>
      </w:r>
      <w:r>
        <w:rPr>
          <w:rFonts w:ascii="宋体"/>
        </w:rPr>
        <w:fldChar w:fldCharType="begin"/>
      </w:r>
      <w:r>
        <w:rPr>
          <w:rFonts w:ascii="宋体"/>
        </w:rPr>
        <w:instrText xml:space="preserve"> PAGEREF _Toc103003361 \h </w:instrText>
      </w:r>
      <w:r>
        <w:rPr>
          <w:rFonts w:ascii="宋体"/>
        </w:rPr>
        <w:fldChar w:fldCharType="separate"/>
      </w:r>
      <w:r>
        <w:rPr>
          <w:rFonts w:ascii="宋体"/>
        </w:rPr>
        <w:t>103</w:t>
      </w:r>
      <w:r>
        <w:rPr>
          <w:rFonts w:ascii="宋体"/>
        </w:rPr>
        <w:fldChar w:fldCharType="end"/>
      </w:r>
      <w:r>
        <w:rPr>
          <w:rFonts w:ascii="宋体"/>
        </w:rPr>
        <w:fldChar w:fldCharType="end"/>
      </w:r>
    </w:p>
    <w:p>
      <w:pPr>
        <w:pStyle w:val="25"/>
        <w:rPr>
          <w:rFonts w:ascii="宋体" w:cs="Times New Roman"/>
          <w:b w:val="0"/>
          <w:sz w:val="22"/>
          <w:szCs w:val="22"/>
        </w:rPr>
      </w:pPr>
      <w:r>
        <w:fldChar w:fldCharType="begin"/>
      </w:r>
      <w:r>
        <w:instrText xml:space="preserve"> HYPERLINK \l "_Toc103003362" </w:instrText>
      </w:r>
      <w:r>
        <w:fldChar w:fldCharType="separate"/>
      </w:r>
      <w:r>
        <w:rPr>
          <w:rStyle w:val="42"/>
          <w:rFonts w:hint="eastAsia" w:ascii="宋体"/>
          <w:bCs/>
          <w:kern w:val="32"/>
        </w:rPr>
        <w:t>第二十部分</w:t>
      </w:r>
      <w:r>
        <w:rPr>
          <w:rStyle w:val="42"/>
          <w:rFonts w:ascii="宋体"/>
          <w:bCs/>
          <w:kern w:val="32"/>
        </w:rPr>
        <w:t xml:space="preserve">  </w:t>
      </w:r>
      <w:r>
        <w:rPr>
          <w:rStyle w:val="42"/>
          <w:rFonts w:hint="eastAsia" w:ascii="宋体"/>
          <w:bCs/>
          <w:kern w:val="32"/>
        </w:rPr>
        <w:t>基金托管协议的内容摘要</w:t>
      </w:r>
      <w:r>
        <w:rPr>
          <w:rFonts w:ascii="宋体"/>
        </w:rPr>
        <w:tab/>
      </w:r>
      <w:r>
        <w:rPr>
          <w:rFonts w:ascii="宋体"/>
        </w:rPr>
        <w:fldChar w:fldCharType="begin"/>
      </w:r>
      <w:r>
        <w:rPr>
          <w:rFonts w:ascii="宋体"/>
        </w:rPr>
        <w:instrText xml:space="preserve"> PAGEREF _Toc103003362 \h </w:instrText>
      </w:r>
      <w:r>
        <w:rPr>
          <w:rFonts w:ascii="宋体"/>
        </w:rPr>
        <w:fldChar w:fldCharType="separate"/>
      </w:r>
      <w:r>
        <w:rPr>
          <w:rFonts w:ascii="宋体"/>
        </w:rPr>
        <w:t>122</w:t>
      </w:r>
      <w:r>
        <w:rPr>
          <w:rFonts w:ascii="宋体"/>
        </w:rPr>
        <w:fldChar w:fldCharType="end"/>
      </w:r>
      <w:r>
        <w:rPr>
          <w:rFonts w:ascii="宋体"/>
        </w:rPr>
        <w:fldChar w:fldCharType="end"/>
      </w:r>
    </w:p>
    <w:p>
      <w:pPr>
        <w:pStyle w:val="25"/>
        <w:rPr>
          <w:rFonts w:ascii="宋体" w:cs="Times New Roman"/>
          <w:b w:val="0"/>
          <w:sz w:val="22"/>
          <w:szCs w:val="22"/>
        </w:rPr>
      </w:pPr>
      <w:r>
        <w:fldChar w:fldCharType="begin"/>
      </w:r>
      <w:r>
        <w:instrText xml:space="preserve"> HYPERLINK \l "_Toc103003363" </w:instrText>
      </w:r>
      <w:r>
        <w:fldChar w:fldCharType="separate"/>
      </w:r>
      <w:r>
        <w:rPr>
          <w:rStyle w:val="42"/>
          <w:rFonts w:hint="eastAsia" w:ascii="宋体"/>
        </w:rPr>
        <w:t>第二十一部分</w:t>
      </w:r>
      <w:r>
        <w:rPr>
          <w:rStyle w:val="42"/>
          <w:rFonts w:ascii="宋体"/>
        </w:rPr>
        <w:t xml:space="preserve">  </w:t>
      </w:r>
      <w:r>
        <w:rPr>
          <w:rStyle w:val="42"/>
          <w:rFonts w:hint="eastAsia" w:ascii="宋体"/>
        </w:rPr>
        <w:t>对基金份额持有人的服务</w:t>
      </w:r>
      <w:r>
        <w:rPr>
          <w:rFonts w:ascii="宋体"/>
        </w:rPr>
        <w:tab/>
      </w:r>
      <w:r>
        <w:rPr>
          <w:rFonts w:ascii="宋体"/>
        </w:rPr>
        <w:fldChar w:fldCharType="begin"/>
      </w:r>
      <w:r>
        <w:rPr>
          <w:rFonts w:ascii="宋体"/>
        </w:rPr>
        <w:instrText xml:space="preserve"> PAGEREF _Toc103003363 \h </w:instrText>
      </w:r>
      <w:r>
        <w:rPr>
          <w:rFonts w:ascii="宋体"/>
        </w:rPr>
        <w:fldChar w:fldCharType="separate"/>
      </w:r>
      <w:r>
        <w:rPr>
          <w:rFonts w:ascii="宋体"/>
        </w:rPr>
        <w:t>138</w:t>
      </w:r>
      <w:r>
        <w:rPr>
          <w:rFonts w:ascii="宋体"/>
        </w:rPr>
        <w:fldChar w:fldCharType="end"/>
      </w:r>
      <w:r>
        <w:rPr>
          <w:rFonts w:ascii="宋体"/>
        </w:rPr>
        <w:fldChar w:fldCharType="end"/>
      </w:r>
    </w:p>
    <w:p>
      <w:pPr>
        <w:pStyle w:val="25"/>
        <w:rPr>
          <w:rFonts w:ascii="宋体" w:cs="Times New Roman"/>
          <w:b w:val="0"/>
          <w:sz w:val="22"/>
          <w:szCs w:val="22"/>
        </w:rPr>
      </w:pPr>
      <w:r>
        <w:fldChar w:fldCharType="begin"/>
      </w:r>
      <w:r>
        <w:instrText xml:space="preserve"> HYPERLINK \l "_Toc103003364" </w:instrText>
      </w:r>
      <w:r>
        <w:fldChar w:fldCharType="separate"/>
      </w:r>
      <w:r>
        <w:rPr>
          <w:rStyle w:val="42"/>
          <w:rFonts w:hint="eastAsia" w:ascii="宋体"/>
        </w:rPr>
        <w:t>第二十二部分</w:t>
      </w:r>
      <w:r>
        <w:rPr>
          <w:rStyle w:val="42"/>
          <w:rFonts w:ascii="宋体"/>
        </w:rPr>
        <w:t xml:space="preserve">  </w:t>
      </w:r>
      <w:r>
        <w:rPr>
          <w:rStyle w:val="42"/>
          <w:rFonts w:hint="eastAsia" w:ascii="宋体"/>
        </w:rPr>
        <w:t>其他应披露事项</w:t>
      </w:r>
      <w:r>
        <w:rPr>
          <w:rFonts w:ascii="宋体"/>
        </w:rPr>
        <w:tab/>
      </w:r>
      <w:r>
        <w:rPr>
          <w:rFonts w:ascii="宋体"/>
        </w:rPr>
        <w:fldChar w:fldCharType="begin"/>
      </w:r>
      <w:r>
        <w:rPr>
          <w:rFonts w:ascii="宋体"/>
        </w:rPr>
        <w:instrText xml:space="preserve"> PAGEREF _Toc103003364 \h </w:instrText>
      </w:r>
      <w:r>
        <w:rPr>
          <w:rFonts w:ascii="宋体"/>
        </w:rPr>
        <w:fldChar w:fldCharType="separate"/>
      </w:r>
      <w:r>
        <w:rPr>
          <w:rFonts w:ascii="宋体"/>
        </w:rPr>
        <w:t>140</w:t>
      </w:r>
      <w:r>
        <w:rPr>
          <w:rFonts w:ascii="宋体"/>
        </w:rPr>
        <w:fldChar w:fldCharType="end"/>
      </w:r>
      <w:r>
        <w:rPr>
          <w:rFonts w:ascii="宋体"/>
        </w:rPr>
        <w:fldChar w:fldCharType="end"/>
      </w:r>
    </w:p>
    <w:p>
      <w:pPr>
        <w:pStyle w:val="25"/>
        <w:rPr>
          <w:rFonts w:ascii="宋体" w:cs="Times New Roman"/>
          <w:b w:val="0"/>
          <w:sz w:val="22"/>
          <w:szCs w:val="22"/>
        </w:rPr>
      </w:pPr>
      <w:r>
        <w:fldChar w:fldCharType="begin"/>
      </w:r>
      <w:r>
        <w:instrText xml:space="preserve"> HYPERLINK \l "_Toc103003365" </w:instrText>
      </w:r>
      <w:r>
        <w:fldChar w:fldCharType="separate"/>
      </w:r>
      <w:r>
        <w:rPr>
          <w:rStyle w:val="42"/>
          <w:rFonts w:hint="eastAsia" w:ascii="宋体"/>
        </w:rPr>
        <w:t>第二十三部分</w:t>
      </w:r>
      <w:r>
        <w:rPr>
          <w:rStyle w:val="42"/>
          <w:rFonts w:ascii="宋体"/>
        </w:rPr>
        <w:t xml:space="preserve">  </w:t>
      </w:r>
      <w:r>
        <w:rPr>
          <w:rStyle w:val="42"/>
          <w:rFonts w:hint="eastAsia" w:ascii="宋体"/>
        </w:rPr>
        <w:t>招募说明书的存放及查阅方式</w:t>
      </w:r>
      <w:r>
        <w:rPr>
          <w:rFonts w:ascii="宋体"/>
        </w:rPr>
        <w:tab/>
      </w:r>
      <w:r>
        <w:rPr>
          <w:rFonts w:ascii="宋体"/>
        </w:rPr>
        <w:fldChar w:fldCharType="begin"/>
      </w:r>
      <w:r>
        <w:rPr>
          <w:rFonts w:ascii="宋体"/>
        </w:rPr>
        <w:instrText xml:space="preserve"> PAGEREF _Toc103003365 \h </w:instrText>
      </w:r>
      <w:r>
        <w:rPr>
          <w:rFonts w:ascii="宋体"/>
        </w:rPr>
        <w:fldChar w:fldCharType="separate"/>
      </w:r>
      <w:r>
        <w:rPr>
          <w:rFonts w:ascii="宋体"/>
        </w:rPr>
        <w:t>141</w:t>
      </w:r>
      <w:r>
        <w:rPr>
          <w:rFonts w:ascii="宋体"/>
        </w:rPr>
        <w:fldChar w:fldCharType="end"/>
      </w:r>
      <w:r>
        <w:rPr>
          <w:rFonts w:ascii="宋体"/>
        </w:rPr>
        <w:fldChar w:fldCharType="end"/>
      </w:r>
    </w:p>
    <w:p>
      <w:pPr>
        <w:pStyle w:val="25"/>
        <w:rPr>
          <w:rFonts w:ascii="宋体" w:cs="Times New Roman"/>
          <w:b w:val="0"/>
          <w:sz w:val="22"/>
          <w:szCs w:val="22"/>
        </w:rPr>
      </w:pPr>
      <w:r>
        <w:fldChar w:fldCharType="begin"/>
      </w:r>
      <w:r>
        <w:instrText xml:space="preserve"> HYPERLINK \l "_Toc103003366" </w:instrText>
      </w:r>
      <w:r>
        <w:fldChar w:fldCharType="separate"/>
      </w:r>
      <w:r>
        <w:rPr>
          <w:rStyle w:val="42"/>
          <w:rFonts w:hint="eastAsia" w:ascii="宋体"/>
        </w:rPr>
        <w:t>第二十四部分</w:t>
      </w:r>
      <w:r>
        <w:rPr>
          <w:rStyle w:val="42"/>
          <w:rFonts w:ascii="宋体"/>
        </w:rPr>
        <w:t xml:space="preserve">  </w:t>
      </w:r>
      <w:r>
        <w:rPr>
          <w:rStyle w:val="42"/>
          <w:rFonts w:hint="eastAsia" w:ascii="宋体"/>
        </w:rPr>
        <w:t>备查文件</w:t>
      </w:r>
      <w:r>
        <w:rPr>
          <w:rFonts w:ascii="宋体"/>
        </w:rPr>
        <w:tab/>
      </w:r>
      <w:r>
        <w:rPr>
          <w:rFonts w:ascii="宋体"/>
        </w:rPr>
        <w:fldChar w:fldCharType="begin"/>
      </w:r>
      <w:r>
        <w:rPr>
          <w:rFonts w:ascii="宋体"/>
        </w:rPr>
        <w:instrText xml:space="preserve"> PAGEREF _Toc103003366 \h </w:instrText>
      </w:r>
      <w:r>
        <w:rPr>
          <w:rFonts w:ascii="宋体"/>
        </w:rPr>
        <w:fldChar w:fldCharType="separate"/>
      </w:r>
      <w:r>
        <w:rPr>
          <w:rFonts w:ascii="宋体"/>
        </w:rPr>
        <w:t>142</w:t>
      </w:r>
      <w:r>
        <w:rPr>
          <w:rFonts w:ascii="宋体"/>
        </w:rPr>
        <w:fldChar w:fldCharType="end"/>
      </w:r>
      <w:r>
        <w:rPr>
          <w:rFonts w:ascii="宋体"/>
        </w:rPr>
        <w:fldChar w:fldCharType="end"/>
      </w:r>
    </w:p>
    <w:p>
      <w:pPr>
        <w:pStyle w:val="25"/>
        <w:rPr>
          <w:rStyle w:val="42"/>
          <w:rFonts w:ascii="宋体" w:cs="Times New Roman"/>
          <w:kern w:val="2"/>
          <w:sz w:val="24"/>
        </w:rPr>
      </w:pPr>
      <w:r>
        <w:rPr>
          <w:rFonts w:ascii="宋体" w:cs="Times New Roman"/>
          <w:b w:val="0"/>
          <w:kern w:val="2"/>
          <w:sz w:val="24"/>
        </w:rPr>
        <w:fldChar w:fldCharType="end"/>
      </w:r>
    </w:p>
    <w:p>
      <w:pPr>
        <w:pStyle w:val="2"/>
        <w:adjustRightInd w:val="0"/>
        <w:snapToGrid w:val="0"/>
        <w:spacing w:before="0" w:after="0" w:line="360" w:lineRule="auto"/>
        <w:jc w:val="center"/>
        <w:rPr>
          <w:rFonts w:ascii="宋体" w:hAnsi="宋体"/>
        </w:rPr>
      </w:pPr>
      <w:r>
        <w:rPr>
          <w:rFonts w:ascii="宋体" w:hAnsi="宋体" w:cs="SimSun-Identity-H"/>
        </w:rPr>
        <w:br w:type="page"/>
      </w:r>
      <w:bookmarkStart w:id="14" w:name="_Toc103003343"/>
      <w:r>
        <w:rPr>
          <w:rFonts w:ascii="宋体" w:hAnsi="宋体"/>
        </w:rPr>
        <w:t>第一部分</w:t>
      </w:r>
      <w:r>
        <w:rPr>
          <w:rFonts w:hint="eastAsia" w:ascii="宋体" w:hAnsi="宋体"/>
        </w:rPr>
        <w:t xml:space="preserve">  绪言</w:t>
      </w:r>
      <w:bookmarkEnd w:id="14"/>
    </w:p>
    <w:p>
      <w:pPr>
        <w:pStyle w:val="21"/>
        <w:ind w:firstLine="480" w:firstLineChars="0"/>
        <w:rPr>
          <w:sz w:val="24"/>
        </w:rPr>
      </w:pPr>
    </w:p>
    <w:p>
      <w:pPr>
        <w:pStyle w:val="21"/>
        <w:adjustRightInd w:val="0"/>
        <w:snapToGrid w:val="0"/>
        <w:ind w:firstLine="480"/>
        <w:rPr>
          <w:sz w:val="24"/>
        </w:rPr>
      </w:pPr>
      <w:r>
        <w:rPr>
          <w:rFonts w:hint="eastAsia"/>
          <w:sz w:val="24"/>
        </w:rPr>
        <w:t>《银华中证A50交易型开放式指数证券投资基金联接基金招募说明书》（以下简称“招募说明书”或“本招募说明书”）依据《中华人民共和国证券投资基金法》（以下简称“《基金法》”）、《公开募集证券投资基金销售机构监督管理办法》（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w:t>
      </w:r>
      <w:r>
        <w:rPr>
          <w:rFonts w:hint="eastAsia"/>
          <w:bCs/>
          <w:sz w:val="24"/>
        </w:rPr>
        <w:t>公开募集证券投资基金运作指引第2号——基金中基金指引</w:t>
      </w:r>
      <w:r>
        <w:rPr>
          <w:rFonts w:hint="eastAsia"/>
          <w:sz w:val="24"/>
        </w:rPr>
        <w:t>》、《公开募集证券投资基金运作指引第3号——指数基金指引》（以下简称“《指数基金指引》”）、《公开募集证券投资基金侧袋机制指引（试行）》、《银华中证A50交易型开放式指数证券投资基金联接基金基金合同》（以下简称“基金合同”）及其他有关法律法规编写。</w:t>
      </w:r>
    </w:p>
    <w:p>
      <w:pPr>
        <w:pStyle w:val="21"/>
        <w:adjustRightInd w:val="0"/>
        <w:snapToGrid w:val="0"/>
        <w:ind w:firstLine="480"/>
        <w:rPr>
          <w:sz w:val="24"/>
        </w:rPr>
      </w:pPr>
      <w:r>
        <w:rPr>
          <w:rFonts w:hint="eastAsia"/>
          <w:sz w:val="24"/>
        </w:rPr>
        <w:t>本招募说明书阐述了银华中证A50交易型开放式指数证券投资基金联接基金的投资目标、策略、风险、费率等与投资人投资决策有关的全部必要事项，投资人在作出投资决策前应仔细阅读本招募说明书。</w:t>
      </w:r>
    </w:p>
    <w:p>
      <w:pPr>
        <w:pStyle w:val="21"/>
        <w:adjustRightInd w:val="0"/>
        <w:snapToGrid w:val="0"/>
        <w:ind w:firstLine="480"/>
        <w:rPr>
          <w:sz w:val="24"/>
        </w:rPr>
      </w:pPr>
      <w:r>
        <w:rPr>
          <w:rFonts w:hint="eastAsia"/>
          <w:sz w:val="24"/>
        </w:rPr>
        <w:t>基金管理人承诺本招募说明书不存在任何虚假记载、误导性陈述或者重大遗漏，并对其真实性、准确性、完整性承担法律责任。</w:t>
      </w:r>
    </w:p>
    <w:p>
      <w:pPr>
        <w:pStyle w:val="21"/>
        <w:adjustRightInd w:val="0"/>
        <w:snapToGrid w:val="0"/>
        <w:ind w:firstLine="480"/>
        <w:rPr>
          <w:sz w:val="24"/>
        </w:rPr>
      </w:pPr>
      <w:r>
        <w:rPr>
          <w:rFonts w:hint="eastAsia"/>
          <w:sz w:val="24"/>
        </w:rPr>
        <w:t>本基金是根据本招募说明书所载明的资料申请募集的。本招募说明书由银华基金管理股份有限公司解释。本基金管理人没有委托或授权任何其他人提供未在本招募说明书中载明的信息，或对本招募说明书作任何解释或者说明。</w:t>
      </w:r>
    </w:p>
    <w:p>
      <w:pPr>
        <w:pStyle w:val="21"/>
        <w:adjustRightInd w:val="0"/>
        <w:snapToGrid w:val="0"/>
        <w:ind w:firstLine="480"/>
        <w:rPr>
          <w:sz w:val="24"/>
        </w:rPr>
      </w:pPr>
      <w:r>
        <w:rPr>
          <w:rFonts w:hint="eastAsia"/>
          <w:sz w:val="24"/>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本基金基金份额的行为本身即表明其对基金合同的承认和接受。基金份额持有人作为基金合同当事人并不以在基金合同上书面签章或</w:t>
      </w:r>
      <w:r>
        <w:rPr>
          <w:sz w:val="24"/>
        </w:rPr>
        <w:t>签字</w:t>
      </w:r>
      <w:r>
        <w:rPr>
          <w:rFonts w:hint="eastAsia"/>
          <w:sz w:val="24"/>
        </w:rPr>
        <w:t>为必要条件。基金合同当事人应按照《基金法》、基金合同及其他有关规定享有权利、承担义务。基金投资人欲了解基金份额持有人的权利和义务，应详细查阅基金合同。</w:t>
      </w:r>
    </w:p>
    <w:p>
      <w:pPr>
        <w:pStyle w:val="2"/>
        <w:adjustRightInd w:val="0"/>
        <w:snapToGrid w:val="0"/>
        <w:spacing w:before="0" w:after="0" w:line="360" w:lineRule="auto"/>
        <w:jc w:val="center"/>
        <w:rPr>
          <w:rFonts w:ascii="宋体" w:hAnsi="宋体"/>
        </w:rPr>
      </w:pPr>
      <w:r>
        <w:rPr>
          <w:rFonts w:ascii="宋体" w:hAnsi="宋体"/>
        </w:rPr>
        <w:br w:type="page"/>
      </w:r>
      <w:bookmarkStart w:id="15" w:name="_Toc103003344"/>
      <w:r>
        <w:rPr>
          <w:rFonts w:ascii="宋体" w:hAnsi="宋体"/>
        </w:rPr>
        <w:t>第</w:t>
      </w:r>
      <w:r>
        <w:rPr>
          <w:rFonts w:hint="eastAsia" w:ascii="宋体" w:hAnsi="宋体"/>
        </w:rPr>
        <w:t>二</w:t>
      </w:r>
      <w:r>
        <w:rPr>
          <w:rFonts w:ascii="宋体" w:hAnsi="宋体"/>
        </w:rPr>
        <w:t>部分</w:t>
      </w:r>
      <w:r>
        <w:rPr>
          <w:rFonts w:hint="eastAsia" w:ascii="宋体" w:hAnsi="宋体"/>
        </w:rPr>
        <w:t xml:space="preserve">  释义</w:t>
      </w:r>
      <w:bookmarkEnd w:id="15"/>
    </w:p>
    <w:p>
      <w:pPr>
        <w:pStyle w:val="21"/>
        <w:ind w:firstLine="425" w:firstLineChars="0"/>
        <w:rPr>
          <w:sz w:val="24"/>
        </w:rPr>
      </w:pPr>
    </w:p>
    <w:p>
      <w:pPr>
        <w:pStyle w:val="21"/>
        <w:adjustRightInd w:val="0"/>
        <w:snapToGrid w:val="0"/>
        <w:ind w:firstLine="480"/>
        <w:rPr>
          <w:rFonts w:cs="宋体"/>
          <w:sz w:val="24"/>
        </w:rPr>
      </w:pPr>
      <w:r>
        <w:rPr>
          <w:rFonts w:hint="eastAsia" w:cs="宋体"/>
          <w:sz w:val="24"/>
        </w:rPr>
        <w:t>在本招募说明书中，除非文意另有所指，下列词语或简称具有如下含义：</w:t>
      </w:r>
    </w:p>
    <w:p>
      <w:pPr>
        <w:pStyle w:val="21"/>
        <w:adjustRightInd w:val="0"/>
        <w:snapToGrid w:val="0"/>
        <w:ind w:firstLine="480"/>
        <w:rPr>
          <w:rFonts w:cs="宋体"/>
          <w:bCs/>
          <w:sz w:val="24"/>
        </w:rPr>
      </w:pPr>
      <w:r>
        <w:rPr>
          <w:rFonts w:hint="eastAsia" w:cs="宋体"/>
          <w:bCs/>
          <w:sz w:val="24"/>
        </w:rPr>
        <w:t>1、基金或本基金：指银华中证A50交易型开放式指数证券投资基金联接基金</w:t>
      </w:r>
    </w:p>
    <w:p>
      <w:pPr>
        <w:pStyle w:val="21"/>
        <w:adjustRightInd w:val="0"/>
        <w:snapToGrid w:val="0"/>
        <w:ind w:firstLine="480"/>
        <w:rPr>
          <w:rFonts w:cs="宋体"/>
          <w:bCs/>
          <w:sz w:val="24"/>
        </w:rPr>
      </w:pPr>
      <w:r>
        <w:rPr>
          <w:rFonts w:hint="eastAsia" w:cs="宋体"/>
          <w:bCs/>
          <w:sz w:val="24"/>
        </w:rPr>
        <w:t>2、基金管理人：指银华基金管理股份有限公司</w:t>
      </w:r>
    </w:p>
    <w:p>
      <w:pPr>
        <w:pStyle w:val="21"/>
        <w:adjustRightInd w:val="0"/>
        <w:snapToGrid w:val="0"/>
        <w:ind w:firstLine="480"/>
        <w:rPr>
          <w:rFonts w:cs="宋体"/>
          <w:bCs/>
          <w:sz w:val="24"/>
        </w:rPr>
      </w:pPr>
      <w:r>
        <w:rPr>
          <w:rFonts w:hint="eastAsia" w:cs="宋体"/>
          <w:bCs/>
          <w:sz w:val="24"/>
        </w:rPr>
        <w:t>3、基金托管人：指交通银行股份有限公司</w:t>
      </w:r>
    </w:p>
    <w:p>
      <w:pPr>
        <w:pStyle w:val="21"/>
        <w:adjustRightInd w:val="0"/>
        <w:snapToGrid w:val="0"/>
        <w:ind w:firstLine="480"/>
        <w:rPr>
          <w:rFonts w:cs="宋体"/>
          <w:bCs/>
          <w:sz w:val="24"/>
        </w:rPr>
      </w:pPr>
      <w:r>
        <w:rPr>
          <w:rFonts w:hint="eastAsia" w:cs="宋体"/>
          <w:bCs/>
          <w:sz w:val="24"/>
        </w:rPr>
        <w:t>4、基金合同、《基金合同》：指《银华中证A50交易型开放式指数证券投资基金联接基金基金合同》及对基金合同的任何有效修订和补充</w:t>
      </w:r>
    </w:p>
    <w:p>
      <w:pPr>
        <w:pStyle w:val="21"/>
        <w:adjustRightInd w:val="0"/>
        <w:snapToGrid w:val="0"/>
        <w:ind w:firstLine="480"/>
        <w:rPr>
          <w:rFonts w:cs="宋体"/>
          <w:bCs/>
          <w:sz w:val="24"/>
        </w:rPr>
      </w:pPr>
      <w:r>
        <w:rPr>
          <w:rFonts w:hint="eastAsia" w:cs="宋体"/>
          <w:bCs/>
          <w:sz w:val="24"/>
        </w:rPr>
        <w:t>5、托管协议：指基金管理人与基金托管人就本基金签订之《银华中证A50交易型开放式指数证券投资基金联接基金托管协议》及对该托管协议的任何有效修订和补充</w:t>
      </w:r>
    </w:p>
    <w:p>
      <w:pPr>
        <w:pStyle w:val="21"/>
        <w:adjustRightInd w:val="0"/>
        <w:snapToGrid w:val="0"/>
        <w:ind w:firstLine="480"/>
        <w:rPr>
          <w:rFonts w:cs="宋体"/>
          <w:bCs/>
          <w:sz w:val="24"/>
        </w:rPr>
      </w:pPr>
      <w:r>
        <w:rPr>
          <w:rFonts w:hint="eastAsia" w:cs="宋体"/>
          <w:bCs/>
          <w:sz w:val="24"/>
        </w:rPr>
        <w:t>6、招募说明书或本招募说明书：指《银华中证A50交易型开放式指数证券投资基金联接基金招募说明书》及其更新</w:t>
      </w:r>
    </w:p>
    <w:p>
      <w:pPr>
        <w:pStyle w:val="21"/>
        <w:adjustRightInd w:val="0"/>
        <w:snapToGrid w:val="0"/>
        <w:ind w:firstLine="480"/>
        <w:rPr>
          <w:rFonts w:cs="宋体"/>
          <w:bCs/>
          <w:sz w:val="24"/>
        </w:rPr>
      </w:pPr>
      <w:r>
        <w:rPr>
          <w:rFonts w:hint="eastAsia" w:cs="宋体"/>
          <w:bCs/>
          <w:sz w:val="24"/>
        </w:rPr>
        <w:t>7、基金份额发售公告：指《银华中证A50交易型开放式指数证券投资基金联接基金基金份额发售公告》</w:t>
      </w:r>
    </w:p>
    <w:p>
      <w:pPr>
        <w:pStyle w:val="21"/>
        <w:adjustRightInd w:val="0"/>
        <w:snapToGrid w:val="0"/>
        <w:ind w:firstLine="480"/>
        <w:rPr>
          <w:rFonts w:cs="宋体"/>
          <w:bCs/>
          <w:sz w:val="24"/>
        </w:rPr>
      </w:pPr>
      <w:r>
        <w:rPr>
          <w:rFonts w:hint="eastAsia" w:cs="宋体"/>
          <w:bCs/>
          <w:sz w:val="24"/>
        </w:rPr>
        <w:t>8、基金产品资料概要：指《银华中证A50交易型开放式指数证券投资基金联接基金基金产品资料概要》及其更新</w:t>
      </w:r>
    </w:p>
    <w:p>
      <w:pPr>
        <w:pStyle w:val="21"/>
        <w:adjustRightInd w:val="0"/>
        <w:snapToGrid w:val="0"/>
        <w:ind w:firstLine="480"/>
        <w:rPr>
          <w:rFonts w:cs="宋体"/>
          <w:bCs/>
          <w:sz w:val="24"/>
        </w:rPr>
      </w:pPr>
      <w:r>
        <w:rPr>
          <w:rFonts w:hint="eastAsia" w:cs="宋体"/>
          <w:bCs/>
          <w:sz w:val="24"/>
        </w:rPr>
        <w:t>9、法律法规：指中国现行有效并公布实施的法律、行政法规、规范性文件、司法解释、行政规章以及其他对基金合同当事人有约束力的决定、决议、通知等</w:t>
      </w:r>
    </w:p>
    <w:p>
      <w:pPr>
        <w:pStyle w:val="21"/>
        <w:adjustRightInd w:val="0"/>
        <w:snapToGrid w:val="0"/>
        <w:ind w:firstLine="480"/>
        <w:rPr>
          <w:rFonts w:cs="宋体"/>
          <w:bCs/>
          <w:sz w:val="24"/>
        </w:rPr>
      </w:pPr>
      <w:r>
        <w:rPr>
          <w:rFonts w:hint="eastAsia" w:cs="宋体"/>
          <w:bCs/>
          <w:sz w:val="24"/>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pPr>
        <w:pStyle w:val="21"/>
        <w:adjustRightInd w:val="0"/>
        <w:snapToGrid w:val="0"/>
        <w:ind w:firstLine="480"/>
        <w:rPr>
          <w:rFonts w:cs="宋体"/>
          <w:bCs/>
          <w:sz w:val="24"/>
        </w:rPr>
      </w:pPr>
      <w:r>
        <w:rPr>
          <w:rFonts w:hint="eastAsia" w:cs="宋体"/>
          <w:bCs/>
          <w:sz w:val="24"/>
        </w:rPr>
        <w:t>11、《销售办法》：指中国证监会2020年8月28日颁布、同年10月1日实施的《公开募集证券投资基金销售机构监督管理办法》及颁布机关对其不时做出的修订</w:t>
      </w:r>
    </w:p>
    <w:p>
      <w:pPr>
        <w:pStyle w:val="21"/>
        <w:adjustRightInd w:val="0"/>
        <w:snapToGrid w:val="0"/>
        <w:ind w:firstLine="480"/>
        <w:rPr>
          <w:rFonts w:cs="宋体"/>
          <w:bCs/>
          <w:sz w:val="24"/>
        </w:rPr>
      </w:pPr>
      <w:r>
        <w:rPr>
          <w:rFonts w:hint="eastAsia" w:cs="宋体"/>
          <w:bCs/>
          <w:sz w:val="24"/>
        </w:rPr>
        <w:t>12、《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pPr>
        <w:pStyle w:val="21"/>
        <w:adjustRightInd w:val="0"/>
        <w:snapToGrid w:val="0"/>
        <w:ind w:firstLine="480"/>
        <w:rPr>
          <w:rFonts w:cs="宋体"/>
          <w:bCs/>
          <w:sz w:val="24"/>
        </w:rPr>
      </w:pPr>
      <w:r>
        <w:rPr>
          <w:rFonts w:hint="eastAsia" w:cs="宋体"/>
          <w:bCs/>
          <w:sz w:val="24"/>
        </w:rPr>
        <w:t>13、《运作办法》：指中国证监会2014年7月7日颁布、同年8月8日实施的《公开募集证券投资基金运作管理办法》及颁布机关对其不时做出的修订</w:t>
      </w:r>
    </w:p>
    <w:p>
      <w:pPr>
        <w:pStyle w:val="21"/>
        <w:adjustRightInd w:val="0"/>
        <w:snapToGrid w:val="0"/>
        <w:ind w:firstLine="480"/>
        <w:rPr>
          <w:rFonts w:cs="宋体"/>
          <w:bCs/>
          <w:sz w:val="24"/>
        </w:rPr>
      </w:pPr>
      <w:r>
        <w:rPr>
          <w:rFonts w:hint="eastAsia" w:cs="宋体"/>
          <w:bCs/>
          <w:sz w:val="24"/>
        </w:rPr>
        <w:t>14、《流动性风险管理规定》：指中国证监会2017年8月31日颁布、同年10月1日实施的《公开募集开放式证券投资基金流动性风险管理规定》及颁布机关对其不时做出的修订</w:t>
      </w:r>
    </w:p>
    <w:p>
      <w:pPr>
        <w:pStyle w:val="21"/>
        <w:adjustRightInd w:val="0"/>
        <w:snapToGrid w:val="0"/>
        <w:ind w:firstLine="480"/>
        <w:rPr>
          <w:rFonts w:cs="宋体"/>
          <w:bCs/>
          <w:sz w:val="24"/>
        </w:rPr>
      </w:pPr>
      <w:r>
        <w:rPr>
          <w:rFonts w:hint="eastAsia" w:cs="宋体"/>
          <w:bCs/>
          <w:sz w:val="24"/>
        </w:rPr>
        <w:t>15、中国证监会：指中国证券监督管理委员会</w:t>
      </w:r>
    </w:p>
    <w:p>
      <w:pPr>
        <w:pStyle w:val="21"/>
        <w:adjustRightInd w:val="0"/>
        <w:snapToGrid w:val="0"/>
        <w:ind w:firstLine="480"/>
        <w:rPr>
          <w:rFonts w:cs="宋体"/>
          <w:bCs/>
          <w:sz w:val="24"/>
        </w:rPr>
      </w:pPr>
      <w:r>
        <w:rPr>
          <w:rFonts w:hint="eastAsia" w:cs="宋体"/>
          <w:bCs/>
          <w:sz w:val="24"/>
        </w:rPr>
        <w:t>16、银行业监督管理机构：指中国人民银行和/或</w:t>
      </w:r>
      <w:r>
        <w:rPr>
          <w:rFonts w:hint="eastAsia"/>
          <w:sz w:val="24"/>
        </w:rPr>
        <w:t>国家金融监督管理总局</w:t>
      </w:r>
    </w:p>
    <w:p>
      <w:pPr>
        <w:pStyle w:val="21"/>
        <w:adjustRightInd w:val="0"/>
        <w:snapToGrid w:val="0"/>
        <w:ind w:firstLine="480"/>
        <w:rPr>
          <w:rFonts w:cs="宋体"/>
          <w:bCs/>
          <w:sz w:val="24"/>
        </w:rPr>
      </w:pPr>
      <w:r>
        <w:rPr>
          <w:rFonts w:hint="eastAsia" w:cs="宋体"/>
          <w:bCs/>
          <w:sz w:val="24"/>
        </w:rPr>
        <w:t>17、基金合同当事人：指受基金合同约束，根据基金合同享有权利并承担义务的法律主体，包括基金管理人、基金托管人和基金份额持有人</w:t>
      </w:r>
    </w:p>
    <w:p>
      <w:pPr>
        <w:pStyle w:val="21"/>
        <w:adjustRightInd w:val="0"/>
        <w:snapToGrid w:val="0"/>
        <w:ind w:firstLine="480"/>
        <w:rPr>
          <w:rFonts w:cs="宋体"/>
          <w:bCs/>
          <w:sz w:val="24"/>
        </w:rPr>
      </w:pPr>
      <w:r>
        <w:rPr>
          <w:rFonts w:hint="eastAsia" w:cs="宋体"/>
          <w:bCs/>
          <w:sz w:val="24"/>
        </w:rPr>
        <w:t>18、个人投资者：指依据有关法律法规规定可投资于证券投资基金的自然人</w:t>
      </w:r>
    </w:p>
    <w:p>
      <w:pPr>
        <w:pStyle w:val="21"/>
        <w:adjustRightInd w:val="0"/>
        <w:snapToGrid w:val="0"/>
        <w:ind w:firstLine="480"/>
        <w:rPr>
          <w:rFonts w:cs="宋体"/>
          <w:bCs/>
          <w:sz w:val="24"/>
        </w:rPr>
      </w:pPr>
      <w:r>
        <w:rPr>
          <w:rFonts w:hint="eastAsia" w:cs="宋体"/>
          <w:bCs/>
          <w:sz w:val="24"/>
        </w:rPr>
        <w:t>19、机构投资者：指依法可以投资证券投资基金的、在中华人民共和国境内合法登记并存续或经有关政府部门批准设立并存续的企业法人、事业法人、社会团体或其他组织</w:t>
      </w:r>
    </w:p>
    <w:p>
      <w:pPr>
        <w:pStyle w:val="21"/>
        <w:adjustRightInd w:val="0"/>
        <w:snapToGrid w:val="0"/>
        <w:ind w:firstLine="480"/>
        <w:rPr>
          <w:rFonts w:cs="宋体"/>
          <w:bCs/>
          <w:sz w:val="24"/>
        </w:rPr>
      </w:pPr>
      <w:r>
        <w:rPr>
          <w:rFonts w:hint="eastAsia" w:cs="宋体"/>
          <w:bCs/>
          <w:sz w:val="24"/>
        </w:rPr>
        <w:t>20、合格境外投资者：指符合《合格境外机构投资者和人民币合格境外机构投资者境内证券期货投资管理办法》（包括其不时修订）及相关法律法规规定，经中国证监会批准，使用来自境外的资金进行境内证券期货投资的境外机构投资者，包括合格境外机构投资者和人民币合格境外机构投资者</w:t>
      </w:r>
    </w:p>
    <w:p>
      <w:pPr>
        <w:pStyle w:val="21"/>
        <w:adjustRightInd w:val="0"/>
        <w:snapToGrid w:val="0"/>
        <w:ind w:firstLine="480"/>
        <w:rPr>
          <w:rFonts w:cs="宋体"/>
          <w:bCs/>
          <w:sz w:val="24"/>
        </w:rPr>
      </w:pPr>
      <w:r>
        <w:rPr>
          <w:rFonts w:hint="eastAsia" w:cs="宋体"/>
          <w:bCs/>
          <w:sz w:val="24"/>
        </w:rPr>
        <w:t>21、投资人、投资者：指个人投资者、机构投资者、合格境外投资者以及法律法规或中国证监会允许购买证券投资基金的其他投资人的合称</w:t>
      </w:r>
    </w:p>
    <w:p>
      <w:pPr>
        <w:pStyle w:val="21"/>
        <w:adjustRightInd w:val="0"/>
        <w:snapToGrid w:val="0"/>
        <w:ind w:firstLine="480"/>
        <w:rPr>
          <w:rFonts w:cs="宋体"/>
          <w:bCs/>
          <w:sz w:val="24"/>
        </w:rPr>
      </w:pPr>
      <w:r>
        <w:rPr>
          <w:rFonts w:hint="eastAsia" w:cs="宋体"/>
          <w:bCs/>
          <w:sz w:val="24"/>
        </w:rPr>
        <w:t>22、基金份额持有人：指依基金合同和招募说明书合法取得本基金基金份额的投资人</w:t>
      </w:r>
    </w:p>
    <w:p>
      <w:pPr>
        <w:pStyle w:val="21"/>
        <w:adjustRightInd w:val="0"/>
        <w:snapToGrid w:val="0"/>
        <w:ind w:firstLine="480"/>
        <w:rPr>
          <w:rFonts w:cs="宋体"/>
          <w:bCs/>
          <w:sz w:val="24"/>
        </w:rPr>
      </w:pPr>
      <w:r>
        <w:rPr>
          <w:rFonts w:hint="eastAsia" w:cs="宋体"/>
          <w:bCs/>
          <w:sz w:val="24"/>
        </w:rPr>
        <w:t>23、基金销售业务：指基金管理人或销售机构宣传推介基金，发售基金份额，办理基金份额的申购、赎回、转换、转托管及定期定额投资等业务</w:t>
      </w:r>
    </w:p>
    <w:p>
      <w:pPr>
        <w:pStyle w:val="21"/>
        <w:adjustRightInd w:val="0"/>
        <w:snapToGrid w:val="0"/>
        <w:ind w:firstLine="480"/>
        <w:rPr>
          <w:rFonts w:cs="宋体"/>
          <w:bCs/>
          <w:sz w:val="24"/>
        </w:rPr>
      </w:pPr>
      <w:r>
        <w:rPr>
          <w:rFonts w:hint="eastAsia" w:cs="宋体"/>
          <w:bCs/>
          <w:sz w:val="24"/>
        </w:rPr>
        <w:t>24、发售：指在本基金募集期内，销售机构向投资人销售本基金基金份额的行为</w:t>
      </w:r>
    </w:p>
    <w:p>
      <w:pPr>
        <w:pStyle w:val="21"/>
        <w:adjustRightInd w:val="0"/>
        <w:snapToGrid w:val="0"/>
        <w:ind w:firstLine="480"/>
        <w:rPr>
          <w:rFonts w:cs="宋体"/>
          <w:bCs/>
          <w:sz w:val="24"/>
        </w:rPr>
      </w:pPr>
      <w:r>
        <w:rPr>
          <w:rFonts w:hint="eastAsia" w:cs="宋体"/>
          <w:bCs/>
          <w:sz w:val="24"/>
        </w:rPr>
        <w:t>25、销售机构：指银华基金管理股份有限公司以及符合《销售办法》和中国证监会规定的其他条件，取得基金销售业务资格并与基金管理人签订了基金销售服务协议，办理基金销售业务的其他机构</w:t>
      </w:r>
    </w:p>
    <w:p>
      <w:pPr>
        <w:pStyle w:val="21"/>
        <w:adjustRightInd w:val="0"/>
        <w:snapToGrid w:val="0"/>
        <w:ind w:firstLine="480"/>
        <w:rPr>
          <w:rFonts w:cs="宋体"/>
          <w:bCs/>
          <w:sz w:val="24"/>
        </w:rPr>
      </w:pPr>
      <w:r>
        <w:rPr>
          <w:rFonts w:hint="eastAsia" w:cs="宋体"/>
          <w:bCs/>
          <w:sz w:val="24"/>
        </w:rPr>
        <w:t>26、基金销售网点：指销售机构的销售网点</w:t>
      </w:r>
    </w:p>
    <w:p>
      <w:pPr>
        <w:pStyle w:val="21"/>
        <w:adjustRightInd w:val="0"/>
        <w:snapToGrid w:val="0"/>
        <w:ind w:firstLine="480"/>
        <w:rPr>
          <w:rFonts w:cs="宋体"/>
          <w:bCs/>
          <w:sz w:val="24"/>
        </w:rPr>
      </w:pPr>
      <w:r>
        <w:rPr>
          <w:rFonts w:hint="eastAsia" w:cs="宋体"/>
          <w:bCs/>
          <w:sz w:val="24"/>
        </w:rPr>
        <w:t>27、登记业务：指基金登记、存管、过户、清算和结算业务，具体内容包括投资人基金账户的建立和管理、基金份额登记、基金销售业务的确认、清算和结算、代理发放红利、建立并保管基金份额持有人名册和办理非交易过户等</w:t>
      </w:r>
    </w:p>
    <w:p>
      <w:pPr>
        <w:pStyle w:val="21"/>
        <w:adjustRightInd w:val="0"/>
        <w:snapToGrid w:val="0"/>
        <w:ind w:firstLine="480"/>
        <w:rPr>
          <w:rFonts w:cs="宋体"/>
          <w:bCs/>
          <w:sz w:val="24"/>
        </w:rPr>
      </w:pPr>
      <w:r>
        <w:rPr>
          <w:rFonts w:hint="eastAsia" w:cs="宋体"/>
          <w:bCs/>
          <w:sz w:val="24"/>
        </w:rPr>
        <w:t>28、登记机构：指办理登记业务的机构。本基金的登记机构为银华基金管理股份有限公司或接受银华基金管理股份有限公司委托代为办理登记业务的机构</w:t>
      </w:r>
    </w:p>
    <w:p>
      <w:pPr>
        <w:pStyle w:val="21"/>
        <w:adjustRightInd w:val="0"/>
        <w:snapToGrid w:val="0"/>
        <w:ind w:firstLine="480"/>
        <w:rPr>
          <w:rFonts w:cs="宋体"/>
          <w:bCs/>
          <w:sz w:val="24"/>
        </w:rPr>
      </w:pPr>
      <w:r>
        <w:rPr>
          <w:rFonts w:hint="eastAsia" w:cs="宋体"/>
          <w:bCs/>
          <w:sz w:val="24"/>
        </w:rPr>
        <w:t>29、基金账户：指登记机构为投资人开立的、记录其持有的、基金管理人所管理的基金份额余额及其变动情况的账户</w:t>
      </w:r>
    </w:p>
    <w:p>
      <w:pPr>
        <w:pStyle w:val="21"/>
        <w:adjustRightInd w:val="0"/>
        <w:snapToGrid w:val="0"/>
        <w:ind w:firstLine="480"/>
        <w:rPr>
          <w:rFonts w:cs="宋体"/>
          <w:bCs/>
          <w:sz w:val="24"/>
        </w:rPr>
      </w:pPr>
      <w:r>
        <w:rPr>
          <w:rFonts w:hint="eastAsia" w:cs="宋体"/>
          <w:bCs/>
          <w:sz w:val="24"/>
        </w:rPr>
        <w:t>30、基金交易账户：指销售机构为投资人开立的、记录投资人通过该销售机构办理认购、申购、赎回、转换、转托管及定期定额投资等业务而引起的基金份额变动及结余情况的账户</w:t>
      </w:r>
    </w:p>
    <w:p>
      <w:pPr>
        <w:pStyle w:val="21"/>
        <w:adjustRightInd w:val="0"/>
        <w:snapToGrid w:val="0"/>
        <w:ind w:firstLine="480"/>
        <w:rPr>
          <w:rFonts w:cs="宋体"/>
          <w:bCs/>
          <w:sz w:val="24"/>
        </w:rPr>
      </w:pPr>
      <w:r>
        <w:rPr>
          <w:rFonts w:hint="eastAsia" w:cs="宋体"/>
          <w:bCs/>
          <w:sz w:val="24"/>
        </w:rPr>
        <w:t>31、基金合同生效日：指基金募集达到法律法规规定及基金合同规定的条件，基金管理人向中国证监会办理基金备案手续完毕，并获得中国证监会书面确认的日期</w:t>
      </w:r>
    </w:p>
    <w:p>
      <w:pPr>
        <w:pStyle w:val="21"/>
        <w:adjustRightInd w:val="0"/>
        <w:snapToGrid w:val="0"/>
        <w:ind w:firstLine="480"/>
        <w:rPr>
          <w:rFonts w:cs="宋体"/>
          <w:bCs/>
          <w:sz w:val="24"/>
        </w:rPr>
      </w:pPr>
      <w:r>
        <w:rPr>
          <w:rFonts w:hint="eastAsia" w:cs="宋体"/>
          <w:bCs/>
          <w:sz w:val="24"/>
        </w:rPr>
        <w:t>32、基金合同终止日：指基金合同规定的基金合同终止事由出现后，基金财产清算完毕，清算结果报中国证监会备案并予以公告的日期</w:t>
      </w:r>
    </w:p>
    <w:p>
      <w:pPr>
        <w:pStyle w:val="21"/>
        <w:adjustRightInd w:val="0"/>
        <w:snapToGrid w:val="0"/>
        <w:ind w:firstLine="480"/>
        <w:rPr>
          <w:rFonts w:cs="宋体"/>
          <w:bCs/>
          <w:sz w:val="24"/>
        </w:rPr>
      </w:pPr>
      <w:r>
        <w:rPr>
          <w:rFonts w:hint="eastAsia" w:cs="宋体"/>
          <w:bCs/>
          <w:sz w:val="24"/>
        </w:rPr>
        <w:t>33、基金募集期：指自基金份额发售之日起至发售结束之日止的期间，最长不得超过3个月</w:t>
      </w:r>
    </w:p>
    <w:p>
      <w:pPr>
        <w:pStyle w:val="21"/>
        <w:adjustRightInd w:val="0"/>
        <w:snapToGrid w:val="0"/>
        <w:ind w:firstLine="480"/>
        <w:rPr>
          <w:rFonts w:cs="宋体"/>
          <w:bCs/>
          <w:sz w:val="24"/>
        </w:rPr>
      </w:pPr>
      <w:r>
        <w:rPr>
          <w:rFonts w:hint="eastAsia" w:cs="宋体"/>
          <w:bCs/>
          <w:sz w:val="24"/>
        </w:rPr>
        <w:t>34、存续期：指基金合同生效至终止之间的不定期期限</w:t>
      </w:r>
    </w:p>
    <w:p>
      <w:pPr>
        <w:pStyle w:val="21"/>
        <w:adjustRightInd w:val="0"/>
        <w:snapToGrid w:val="0"/>
        <w:ind w:firstLine="480"/>
        <w:rPr>
          <w:rFonts w:cs="宋体"/>
          <w:bCs/>
          <w:sz w:val="24"/>
        </w:rPr>
      </w:pPr>
      <w:r>
        <w:rPr>
          <w:rFonts w:hint="eastAsia" w:cs="宋体"/>
          <w:bCs/>
          <w:sz w:val="24"/>
        </w:rPr>
        <w:t>35、工作日：指上海证券交易所、深圳证券交易所的正常交易日</w:t>
      </w:r>
    </w:p>
    <w:p>
      <w:pPr>
        <w:pStyle w:val="21"/>
        <w:adjustRightInd w:val="0"/>
        <w:snapToGrid w:val="0"/>
        <w:ind w:firstLine="480"/>
        <w:rPr>
          <w:rFonts w:cs="宋体"/>
          <w:bCs/>
          <w:sz w:val="24"/>
        </w:rPr>
      </w:pPr>
      <w:r>
        <w:rPr>
          <w:rFonts w:hint="eastAsia" w:cs="宋体"/>
          <w:bCs/>
          <w:sz w:val="24"/>
        </w:rPr>
        <w:t>36、T日：指销售机构在规定时间受理投资人申购、赎回或其他业务申请的开放日</w:t>
      </w:r>
    </w:p>
    <w:p>
      <w:pPr>
        <w:pStyle w:val="21"/>
        <w:adjustRightInd w:val="0"/>
        <w:snapToGrid w:val="0"/>
        <w:ind w:firstLine="480"/>
        <w:rPr>
          <w:rFonts w:cs="宋体"/>
          <w:bCs/>
          <w:sz w:val="24"/>
        </w:rPr>
      </w:pPr>
      <w:r>
        <w:rPr>
          <w:rFonts w:hint="eastAsia" w:cs="宋体"/>
          <w:bCs/>
          <w:sz w:val="24"/>
        </w:rPr>
        <w:t>37、T+n日：指自T日起第n个工作日（不包含T日），n=1，2，3，4，5……</w:t>
      </w:r>
    </w:p>
    <w:p>
      <w:pPr>
        <w:pStyle w:val="21"/>
        <w:adjustRightInd w:val="0"/>
        <w:snapToGrid w:val="0"/>
        <w:ind w:firstLine="480"/>
        <w:rPr>
          <w:rFonts w:cs="宋体"/>
          <w:bCs/>
          <w:sz w:val="24"/>
        </w:rPr>
      </w:pPr>
      <w:r>
        <w:rPr>
          <w:rFonts w:hint="eastAsia" w:cs="宋体"/>
          <w:bCs/>
          <w:sz w:val="24"/>
        </w:rPr>
        <w:t>38、开放日：指为投资人办理基金份额申购、赎回或其他业务的工作日</w:t>
      </w:r>
    </w:p>
    <w:p>
      <w:pPr>
        <w:pStyle w:val="21"/>
        <w:adjustRightInd w:val="0"/>
        <w:snapToGrid w:val="0"/>
        <w:ind w:firstLine="480"/>
        <w:rPr>
          <w:rFonts w:cs="宋体"/>
          <w:bCs/>
          <w:sz w:val="24"/>
        </w:rPr>
      </w:pPr>
      <w:r>
        <w:rPr>
          <w:rFonts w:hint="eastAsia" w:cs="宋体"/>
          <w:bCs/>
          <w:sz w:val="24"/>
        </w:rPr>
        <w:t>39、开放时间：指开放日基金接受申购、赎回或其他交易的时间段</w:t>
      </w:r>
    </w:p>
    <w:p>
      <w:pPr>
        <w:pStyle w:val="21"/>
        <w:adjustRightInd w:val="0"/>
        <w:snapToGrid w:val="0"/>
        <w:ind w:firstLine="480"/>
        <w:rPr>
          <w:rFonts w:cs="宋体"/>
          <w:bCs/>
          <w:sz w:val="24"/>
        </w:rPr>
      </w:pPr>
      <w:r>
        <w:rPr>
          <w:rFonts w:hint="eastAsia" w:cs="宋体"/>
          <w:bCs/>
          <w:sz w:val="24"/>
        </w:rPr>
        <w:t>40、《业务规则》：指《银华基金管理股份有限公司基金注册登记业务规则》及其不时做出的修订，是规范基金管理人所管理的开放式证券投资基金登记方面的业务规则，由基金管理人和投资人共同遵守</w:t>
      </w:r>
    </w:p>
    <w:p>
      <w:pPr>
        <w:pStyle w:val="21"/>
        <w:adjustRightInd w:val="0"/>
        <w:snapToGrid w:val="0"/>
        <w:ind w:firstLine="480"/>
        <w:rPr>
          <w:rFonts w:cs="宋体"/>
          <w:bCs/>
          <w:sz w:val="24"/>
        </w:rPr>
      </w:pPr>
      <w:r>
        <w:rPr>
          <w:rFonts w:hint="eastAsia" w:cs="宋体"/>
          <w:bCs/>
          <w:sz w:val="24"/>
        </w:rPr>
        <w:t>41、认购：指在基金募集期内，投资人根据基金合同和招募说明书规定的条件以及基金销售网点规定的手续申请购买本基金基金份额的行为</w:t>
      </w:r>
    </w:p>
    <w:p>
      <w:pPr>
        <w:pStyle w:val="21"/>
        <w:adjustRightInd w:val="0"/>
        <w:snapToGrid w:val="0"/>
        <w:ind w:firstLine="480"/>
        <w:rPr>
          <w:rFonts w:cs="宋体"/>
          <w:bCs/>
          <w:sz w:val="24"/>
        </w:rPr>
      </w:pPr>
      <w:r>
        <w:rPr>
          <w:rFonts w:hint="eastAsia" w:cs="宋体"/>
          <w:bCs/>
          <w:sz w:val="24"/>
        </w:rPr>
        <w:t>42、申购：指基金合同生效后，投资人根据基金合同和招募说明书规定的条件以及基金销售网点规定的手续申请购买本基金基金份额的行为</w:t>
      </w:r>
    </w:p>
    <w:p>
      <w:pPr>
        <w:pStyle w:val="21"/>
        <w:adjustRightInd w:val="0"/>
        <w:snapToGrid w:val="0"/>
        <w:ind w:firstLine="480"/>
        <w:rPr>
          <w:rFonts w:cs="宋体"/>
          <w:bCs/>
          <w:sz w:val="24"/>
        </w:rPr>
      </w:pPr>
      <w:r>
        <w:rPr>
          <w:rFonts w:hint="eastAsia" w:cs="宋体"/>
          <w:bCs/>
          <w:sz w:val="24"/>
        </w:rPr>
        <w:t>43、赎回：指基金合同生效后，基金份额持有人按基金合同和招募说明书规定的条件以及基金销售网点规定的手续要求将本基金基金份额兑换为现金的行为</w:t>
      </w:r>
    </w:p>
    <w:p>
      <w:pPr>
        <w:pStyle w:val="21"/>
        <w:adjustRightInd w:val="0"/>
        <w:snapToGrid w:val="0"/>
        <w:ind w:firstLine="480"/>
        <w:rPr>
          <w:rFonts w:cs="宋体"/>
          <w:bCs/>
          <w:sz w:val="24"/>
        </w:rPr>
      </w:pPr>
      <w:r>
        <w:rPr>
          <w:rFonts w:hint="eastAsia" w:cs="宋体"/>
          <w:bCs/>
          <w:sz w:val="24"/>
        </w:rPr>
        <w:t>44、基金转换：指基金份额持有人按照基金合同和基金管理人届时有效公告规定的条件，申请将其持有基金管理人管理的、已开通基金转换业务的某一开放式基金的全部或部分基金份额转换为同一基金管理人管理的且已开通基金转换业务的其他基金份额的行为</w:t>
      </w:r>
    </w:p>
    <w:p>
      <w:pPr>
        <w:pStyle w:val="21"/>
        <w:adjustRightInd w:val="0"/>
        <w:snapToGrid w:val="0"/>
        <w:ind w:firstLine="480"/>
        <w:rPr>
          <w:rFonts w:cs="宋体"/>
          <w:bCs/>
          <w:sz w:val="24"/>
        </w:rPr>
      </w:pPr>
      <w:r>
        <w:rPr>
          <w:rFonts w:hint="eastAsia" w:cs="宋体"/>
          <w:bCs/>
          <w:sz w:val="24"/>
        </w:rPr>
        <w:t>45、转托管：指基金份额持有人在本基金的不同销售机构之间实施的变更所持基金份额销售机构的操作</w:t>
      </w:r>
    </w:p>
    <w:p>
      <w:pPr>
        <w:pStyle w:val="21"/>
        <w:adjustRightInd w:val="0"/>
        <w:snapToGrid w:val="0"/>
        <w:ind w:firstLine="480"/>
        <w:rPr>
          <w:rFonts w:cs="宋体"/>
          <w:bCs/>
          <w:sz w:val="24"/>
        </w:rPr>
      </w:pPr>
      <w:r>
        <w:rPr>
          <w:rFonts w:hint="eastAsia" w:cs="宋体"/>
          <w:bCs/>
          <w:sz w:val="24"/>
        </w:rPr>
        <w:t>46、定期定额投资计划：指投资人通过有关销售机构提出申请，约定每期申购日、扣款金额及扣款方式，由销售机构于每期约定扣款日在投资人指定银行账户内自动完成扣款及受理基金申购申请的一种投资方式</w:t>
      </w:r>
    </w:p>
    <w:p>
      <w:pPr>
        <w:pStyle w:val="21"/>
        <w:adjustRightInd w:val="0"/>
        <w:snapToGrid w:val="0"/>
        <w:ind w:firstLine="480"/>
        <w:rPr>
          <w:rFonts w:cs="宋体"/>
          <w:bCs/>
          <w:sz w:val="24"/>
        </w:rPr>
      </w:pPr>
      <w:r>
        <w:rPr>
          <w:rFonts w:hint="eastAsia" w:cs="宋体"/>
          <w:bCs/>
          <w:sz w:val="24"/>
        </w:rPr>
        <w:t>47、巨额赎回：指本基金单个开放日，基金净赎回申请（赎回申请份额总数加上基金转换中转出申请份额总数后扣除申购申请份额总数及基金转换中转入申请份额总数后的余额）超过上一开放日基金总份额的10%</w:t>
      </w:r>
    </w:p>
    <w:p>
      <w:pPr>
        <w:pStyle w:val="21"/>
        <w:adjustRightInd w:val="0"/>
        <w:snapToGrid w:val="0"/>
        <w:ind w:firstLine="480"/>
        <w:rPr>
          <w:rFonts w:cs="宋体"/>
          <w:bCs/>
          <w:sz w:val="24"/>
        </w:rPr>
      </w:pPr>
      <w:r>
        <w:rPr>
          <w:rFonts w:hint="eastAsia" w:cs="宋体"/>
          <w:bCs/>
          <w:sz w:val="24"/>
        </w:rPr>
        <w:t>48、元：指人民币元</w:t>
      </w:r>
    </w:p>
    <w:p>
      <w:pPr>
        <w:pStyle w:val="21"/>
        <w:adjustRightInd w:val="0"/>
        <w:snapToGrid w:val="0"/>
        <w:ind w:firstLine="480"/>
        <w:rPr>
          <w:rFonts w:cs="宋体"/>
          <w:bCs/>
          <w:sz w:val="24"/>
        </w:rPr>
      </w:pPr>
      <w:r>
        <w:rPr>
          <w:rFonts w:hint="eastAsia" w:cs="宋体"/>
          <w:bCs/>
          <w:sz w:val="24"/>
        </w:rPr>
        <w:t>49、基金利润：指基金利息收入、投资收益、公允价值变动收益和其他收入扣除相关费用后的余额</w:t>
      </w:r>
    </w:p>
    <w:p>
      <w:pPr>
        <w:pStyle w:val="21"/>
        <w:adjustRightInd w:val="0"/>
        <w:snapToGrid w:val="0"/>
        <w:ind w:firstLine="480"/>
        <w:rPr>
          <w:rFonts w:cs="宋体"/>
          <w:bCs/>
          <w:sz w:val="24"/>
        </w:rPr>
      </w:pPr>
      <w:r>
        <w:rPr>
          <w:rFonts w:hint="eastAsia" w:cs="宋体"/>
          <w:bCs/>
          <w:sz w:val="24"/>
        </w:rPr>
        <w:t>50、基金资产总值：指基金拥有的</w:t>
      </w:r>
      <w:r>
        <w:rPr>
          <w:rFonts w:hint="eastAsia"/>
          <w:bCs/>
          <w:sz w:val="24"/>
          <w:szCs w:val="24"/>
        </w:rPr>
        <w:t>目标ETF份额、</w:t>
      </w:r>
      <w:r>
        <w:rPr>
          <w:rFonts w:hint="eastAsia" w:cs="宋体"/>
          <w:bCs/>
          <w:sz w:val="24"/>
        </w:rPr>
        <w:t>各类证券及票据价值、股指期货合约、股票期权合约、资产支持证券、银行存款本息、基金应收款项及其他投资所形成的价值总和</w:t>
      </w:r>
    </w:p>
    <w:p>
      <w:pPr>
        <w:pStyle w:val="21"/>
        <w:adjustRightInd w:val="0"/>
        <w:snapToGrid w:val="0"/>
        <w:ind w:firstLine="480"/>
        <w:rPr>
          <w:rFonts w:cs="宋体"/>
          <w:bCs/>
          <w:sz w:val="24"/>
        </w:rPr>
      </w:pPr>
      <w:r>
        <w:rPr>
          <w:rFonts w:hint="eastAsia" w:cs="宋体"/>
          <w:bCs/>
          <w:sz w:val="24"/>
        </w:rPr>
        <w:t>51、基金资产净值：指基金资产总值减去基金负债后的价值</w:t>
      </w:r>
    </w:p>
    <w:p>
      <w:pPr>
        <w:pStyle w:val="21"/>
        <w:adjustRightInd w:val="0"/>
        <w:snapToGrid w:val="0"/>
        <w:ind w:firstLine="480"/>
        <w:rPr>
          <w:rFonts w:cs="宋体"/>
          <w:bCs/>
          <w:sz w:val="24"/>
        </w:rPr>
      </w:pPr>
      <w:r>
        <w:rPr>
          <w:rFonts w:hint="eastAsia" w:cs="宋体"/>
          <w:bCs/>
          <w:sz w:val="24"/>
        </w:rPr>
        <w:t>52、基金份额净值：指计算日各类基金资产净值分别除以计算日各类基金份额总数</w:t>
      </w:r>
    </w:p>
    <w:p>
      <w:pPr>
        <w:pStyle w:val="21"/>
        <w:adjustRightInd w:val="0"/>
        <w:snapToGrid w:val="0"/>
        <w:ind w:firstLine="480"/>
        <w:rPr>
          <w:rFonts w:cs="宋体"/>
          <w:bCs/>
          <w:sz w:val="24"/>
        </w:rPr>
      </w:pPr>
      <w:r>
        <w:rPr>
          <w:rFonts w:hint="eastAsia" w:cs="宋体"/>
          <w:bCs/>
          <w:sz w:val="24"/>
        </w:rPr>
        <w:t>53、基金资产估值：指计算评估基金资产和负债的价值，以确定基金资产净值和基金份额净值的过程</w:t>
      </w:r>
    </w:p>
    <w:p>
      <w:pPr>
        <w:pStyle w:val="21"/>
        <w:adjustRightInd w:val="0"/>
        <w:snapToGrid w:val="0"/>
        <w:ind w:firstLine="480"/>
        <w:rPr>
          <w:rFonts w:cs="宋体"/>
          <w:bCs/>
          <w:sz w:val="24"/>
        </w:rPr>
      </w:pPr>
      <w:r>
        <w:rPr>
          <w:rFonts w:hint="eastAsia" w:cs="宋体"/>
          <w:bCs/>
          <w:sz w:val="24"/>
        </w:rPr>
        <w:t>54、《指数基金指引》：指中国证监会2021年1月22日颁布、同年2月1日实施的《公开募集证券投资基金运作指引第3号——指数基金指引》及颁布机关对其不时做出的修订</w:t>
      </w:r>
    </w:p>
    <w:p>
      <w:pPr>
        <w:pStyle w:val="21"/>
        <w:adjustRightInd w:val="0"/>
        <w:snapToGrid w:val="0"/>
        <w:ind w:firstLine="480"/>
        <w:rPr>
          <w:rFonts w:cs="宋体"/>
          <w:bCs/>
          <w:sz w:val="24"/>
        </w:rPr>
      </w:pPr>
      <w:r>
        <w:rPr>
          <w:rFonts w:hint="eastAsia" w:cs="宋体"/>
          <w:bCs/>
          <w:sz w:val="24"/>
        </w:rPr>
        <w:t>55、交易型开放式指数证券投资基金：指深圳证券交易所证券投资基金交易和申购赎回相关规则定义的“交易型开放式基金”，简称“ETF”（Exchange Traded Fund）</w:t>
      </w:r>
    </w:p>
    <w:p>
      <w:pPr>
        <w:pStyle w:val="21"/>
        <w:adjustRightInd w:val="0"/>
        <w:snapToGrid w:val="0"/>
        <w:ind w:firstLine="480"/>
        <w:rPr>
          <w:rFonts w:cs="宋体"/>
          <w:bCs/>
          <w:sz w:val="24"/>
        </w:rPr>
      </w:pPr>
      <w:r>
        <w:rPr>
          <w:rFonts w:hint="eastAsia" w:cs="宋体"/>
          <w:bCs/>
          <w:sz w:val="24"/>
        </w:rPr>
        <w:t>56、ETF联接基金：指将其绝大部分基金财产投资于跟踪同一标的指数的ETF（以下简称“目标ETF”），紧密跟踪标的指数表现，追求跟踪偏离度和跟踪误差最小化，采用开放式运作方式的基金，本基金是联接其所投资的目标ETF的ETF联接基金</w:t>
      </w:r>
    </w:p>
    <w:p>
      <w:pPr>
        <w:pStyle w:val="21"/>
        <w:adjustRightInd w:val="0"/>
        <w:snapToGrid w:val="0"/>
        <w:ind w:firstLine="480"/>
        <w:rPr>
          <w:rFonts w:cs="宋体"/>
          <w:bCs/>
          <w:sz w:val="24"/>
        </w:rPr>
      </w:pPr>
      <w:r>
        <w:rPr>
          <w:rFonts w:hint="eastAsia" w:cs="宋体"/>
          <w:bCs/>
          <w:sz w:val="24"/>
        </w:rPr>
        <w:t>57、标的指数：指中证指数有限公司编制并发布的中证A50指数及其未来可能发生的变更，或基金管理人根据需要更换的其他指数</w:t>
      </w:r>
    </w:p>
    <w:p>
      <w:pPr>
        <w:pStyle w:val="21"/>
        <w:adjustRightInd w:val="0"/>
        <w:snapToGrid w:val="0"/>
        <w:ind w:firstLine="480"/>
        <w:rPr>
          <w:rFonts w:cs="宋体"/>
          <w:bCs/>
          <w:sz w:val="24"/>
        </w:rPr>
      </w:pPr>
      <w:r>
        <w:rPr>
          <w:rFonts w:hint="eastAsia" w:cs="宋体"/>
          <w:bCs/>
          <w:sz w:val="24"/>
        </w:rPr>
        <w:t>58、目标ETF：指另一获中国证监会注册的交易型开放式指数证券投资基金（简称“该ETF”），该ETF和本基金所跟踪的标的指数相同，并且该ETF的投资目标和本基金的投资目标类似，本基金主要投资于该ETF以求达到投资目标。本基金以银华中证A50交易型开放式指数证券投资基金为目标ETF</w:t>
      </w:r>
    </w:p>
    <w:p>
      <w:pPr>
        <w:pStyle w:val="21"/>
        <w:adjustRightInd w:val="0"/>
        <w:snapToGrid w:val="0"/>
        <w:ind w:firstLine="480"/>
        <w:rPr>
          <w:rFonts w:cs="宋体"/>
          <w:bCs/>
          <w:sz w:val="24"/>
        </w:rPr>
      </w:pPr>
      <w:r>
        <w:rPr>
          <w:rFonts w:hint="eastAsia" w:cs="宋体"/>
          <w:bCs/>
          <w:sz w:val="24"/>
        </w:rPr>
        <w:t>59、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pPr>
        <w:pStyle w:val="21"/>
        <w:adjustRightInd w:val="0"/>
        <w:snapToGrid w:val="0"/>
        <w:ind w:firstLine="480"/>
        <w:rPr>
          <w:rFonts w:cs="宋体"/>
          <w:bCs/>
          <w:sz w:val="24"/>
        </w:rPr>
      </w:pPr>
      <w:r>
        <w:rPr>
          <w:rFonts w:hint="eastAsia" w:cs="宋体"/>
          <w:bCs/>
          <w:sz w:val="24"/>
        </w:rPr>
        <w:t>60、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pPr>
        <w:pStyle w:val="21"/>
        <w:adjustRightInd w:val="0"/>
        <w:snapToGrid w:val="0"/>
        <w:ind w:firstLine="480"/>
        <w:rPr>
          <w:rFonts w:cs="宋体"/>
          <w:bCs/>
          <w:sz w:val="24"/>
        </w:rPr>
      </w:pPr>
      <w:r>
        <w:rPr>
          <w:rFonts w:hint="eastAsia" w:cs="宋体"/>
          <w:bCs/>
          <w:sz w:val="24"/>
        </w:rPr>
        <w:t>61、规定媒介：指符合中国证监会规定条件的用以进行信息披露的全国性报刊及《信息披露办法》规定的互联网网站（包括基金管理人网站、基金托管人网站、中国证监会基金电子披露网站）等媒介</w:t>
      </w:r>
    </w:p>
    <w:p>
      <w:pPr>
        <w:pStyle w:val="21"/>
        <w:adjustRightInd w:val="0"/>
        <w:snapToGrid w:val="0"/>
        <w:ind w:firstLine="480"/>
        <w:rPr>
          <w:rFonts w:cs="宋体"/>
          <w:bCs/>
          <w:sz w:val="24"/>
        </w:rPr>
      </w:pPr>
      <w:r>
        <w:rPr>
          <w:rFonts w:hint="eastAsia" w:cs="宋体"/>
          <w:bCs/>
          <w:sz w:val="24"/>
        </w:rPr>
        <w:t>62、销售服务费：指从基金财产中计提的，用于本基金市场推广、销售以及基金份额持有人服务的费用</w:t>
      </w:r>
    </w:p>
    <w:p>
      <w:pPr>
        <w:pStyle w:val="21"/>
        <w:adjustRightInd w:val="0"/>
        <w:snapToGrid w:val="0"/>
        <w:ind w:firstLine="480"/>
        <w:rPr>
          <w:rFonts w:cs="宋体"/>
          <w:bCs/>
          <w:sz w:val="24"/>
        </w:rPr>
      </w:pPr>
      <w:r>
        <w:rPr>
          <w:rFonts w:hint="eastAsia" w:cs="宋体"/>
          <w:bCs/>
          <w:sz w:val="24"/>
        </w:rPr>
        <w:t>63、基金份额折算：指基金管理人根据基金运作的需要，在基金资产净值不变的前提下，按照一定比例调整基金份额总额及基金份额净值</w:t>
      </w:r>
    </w:p>
    <w:p>
      <w:pPr>
        <w:pStyle w:val="21"/>
        <w:adjustRightInd w:val="0"/>
        <w:snapToGrid w:val="0"/>
        <w:ind w:firstLine="480"/>
        <w:rPr>
          <w:rFonts w:cs="宋体"/>
          <w:bCs/>
          <w:sz w:val="24"/>
        </w:rPr>
      </w:pPr>
      <w:r>
        <w:rPr>
          <w:rFonts w:hint="eastAsia" w:cs="宋体"/>
          <w:bCs/>
          <w:sz w:val="24"/>
        </w:rPr>
        <w:t>64、不可抗力：指基金合同当事人不能预见、不能避免且不能克服的客观事件</w:t>
      </w:r>
    </w:p>
    <w:p>
      <w:pPr>
        <w:pStyle w:val="21"/>
        <w:adjustRightInd w:val="0"/>
        <w:snapToGrid w:val="0"/>
        <w:ind w:firstLine="480"/>
        <w:rPr>
          <w:rFonts w:cs="宋体"/>
          <w:bCs/>
          <w:sz w:val="24"/>
        </w:rPr>
      </w:pPr>
      <w:r>
        <w:rPr>
          <w:rFonts w:hint="eastAsia" w:cs="宋体"/>
          <w:bCs/>
          <w:sz w:val="24"/>
        </w:rPr>
        <w:t>65、转融通证券出借业务：指本基金以一定的费率通过证券交易所综合业务平台向中国证券金融股份有限公司出借证券，中国证券金融股份有限公司到期归还所借证券及相应权益补偿并支付费用的业务</w:t>
      </w:r>
    </w:p>
    <w:p>
      <w:pPr>
        <w:pStyle w:val="21"/>
        <w:adjustRightInd w:val="0"/>
        <w:snapToGrid w:val="0"/>
        <w:ind w:firstLine="480"/>
        <w:rPr>
          <w:rFonts w:cs="宋体"/>
          <w:bCs/>
          <w:sz w:val="24"/>
        </w:rPr>
      </w:pPr>
      <w:r>
        <w:rPr>
          <w:rFonts w:hint="eastAsia" w:cs="宋体"/>
          <w:bCs/>
          <w:sz w:val="24"/>
        </w:rPr>
        <w:t>66、基金份额类别：本基金将基金份额分为A类和C类不同的类别。在投资人认购、申购基金份额时收取认购、申购费用而不从本类别基金资产中计提销售服务费的，称为A类基金份额；在投资人认购、申购基金份额时不收取认购、申购费用而是从本类别基金资产中计提销售服务费的，称为C类基金份额</w:t>
      </w:r>
    </w:p>
    <w:p>
      <w:pPr>
        <w:pStyle w:val="21"/>
        <w:adjustRightInd w:val="0"/>
        <w:snapToGrid w:val="0"/>
        <w:ind w:firstLine="480"/>
        <w:rPr>
          <w:rFonts w:cs="宋体"/>
          <w:bCs/>
          <w:sz w:val="24"/>
        </w:rPr>
      </w:pPr>
      <w:r>
        <w:rPr>
          <w:rFonts w:hint="eastAsia" w:cs="宋体"/>
          <w:bCs/>
          <w:sz w:val="24"/>
        </w:rPr>
        <w:t>67、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pPr>
        <w:pStyle w:val="21"/>
        <w:adjustRightInd w:val="0"/>
        <w:snapToGrid w:val="0"/>
        <w:ind w:firstLine="480"/>
        <w:rPr>
          <w:rFonts w:cs="宋体"/>
          <w:bCs/>
          <w:sz w:val="24"/>
        </w:rPr>
      </w:pPr>
      <w:r>
        <w:rPr>
          <w:rFonts w:hint="eastAsia" w:cs="宋体"/>
          <w:bCs/>
          <w:sz w:val="24"/>
        </w:rPr>
        <w:t>68、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pPr>
        <w:pStyle w:val="2"/>
        <w:adjustRightInd w:val="0"/>
        <w:snapToGrid w:val="0"/>
        <w:spacing w:before="0" w:after="0" w:line="360" w:lineRule="auto"/>
        <w:jc w:val="center"/>
        <w:rPr>
          <w:rFonts w:ascii="宋体" w:hAnsi="宋体"/>
        </w:rPr>
      </w:pPr>
      <w:bookmarkStart w:id="16" w:name="_Toc339534340"/>
      <w:bookmarkStart w:id="17" w:name="_Toc352679263"/>
      <w:r>
        <w:rPr>
          <w:rFonts w:ascii="宋体" w:hAnsi="宋体"/>
        </w:rPr>
        <w:br w:type="page"/>
      </w:r>
      <w:bookmarkStart w:id="18" w:name="_Toc103003345"/>
      <w:r>
        <w:rPr>
          <w:rFonts w:ascii="宋体" w:hAnsi="宋体"/>
        </w:rPr>
        <w:t>第</w:t>
      </w:r>
      <w:r>
        <w:rPr>
          <w:rFonts w:hint="eastAsia" w:ascii="宋体" w:hAnsi="宋体"/>
        </w:rPr>
        <w:t>三</w:t>
      </w:r>
      <w:r>
        <w:rPr>
          <w:rFonts w:ascii="宋体" w:hAnsi="宋体"/>
        </w:rPr>
        <w:t>部分</w:t>
      </w:r>
      <w:r>
        <w:rPr>
          <w:rFonts w:hint="eastAsia" w:ascii="宋体" w:hAnsi="宋体"/>
        </w:rPr>
        <w:t xml:space="preserve">  基金管理人</w:t>
      </w:r>
      <w:bookmarkEnd w:id="16"/>
      <w:bookmarkEnd w:id="17"/>
      <w:bookmarkEnd w:id="18"/>
    </w:p>
    <w:p>
      <w:pPr>
        <w:spacing w:line="360" w:lineRule="auto"/>
        <w:rPr>
          <w:rFonts w:ascii="宋体" w:hAnsi="宋体"/>
        </w:rPr>
      </w:pPr>
    </w:p>
    <w:p>
      <w:pPr>
        <w:pStyle w:val="21"/>
        <w:ind w:firstLineChars="175"/>
        <w:rPr>
          <w:sz w:val="24"/>
        </w:rPr>
      </w:pPr>
      <w:r>
        <w:rPr>
          <w:rFonts w:hint="eastAsia"/>
          <w:sz w:val="24"/>
        </w:rPr>
        <w:t>一、基金管理人概况</w:t>
      </w:r>
    </w:p>
    <w:tbl>
      <w:tblPr>
        <w:tblStyle w:val="35"/>
        <w:tblW w:w="0" w:type="auto"/>
        <w:jc w:val="center"/>
        <w:tblLayout w:type="fixed"/>
        <w:tblCellMar>
          <w:top w:w="0" w:type="dxa"/>
          <w:left w:w="0" w:type="dxa"/>
          <w:bottom w:w="0" w:type="dxa"/>
          <w:right w:w="0" w:type="dxa"/>
        </w:tblCellMar>
      </w:tblPr>
      <w:tblGrid>
        <w:gridCol w:w="1296"/>
        <w:gridCol w:w="2316"/>
        <w:gridCol w:w="1296"/>
        <w:gridCol w:w="3080"/>
      </w:tblGrid>
      <w:tr>
        <w:tblPrEx>
          <w:tblCellMar>
            <w:top w:w="0" w:type="dxa"/>
            <w:left w:w="0" w:type="dxa"/>
            <w:bottom w:w="0" w:type="dxa"/>
            <w:right w:w="0" w:type="dxa"/>
          </w:tblCellMar>
        </w:tblPrEx>
        <w:trPr>
          <w:jc w:val="center"/>
        </w:trPr>
        <w:tc>
          <w:tcPr>
            <w:tcW w:w="12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firstLine="0"/>
              <w:rPr>
                <w:rFonts w:ascii="宋体" w:hAnsi="宋体"/>
                <w:sz w:val="24"/>
                <w:szCs w:val="24"/>
              </w:rPr>
            </w:pPr>
            <w:r>
              <w:rPr>
                <w:rFonts w:hint="eastAsia" w:ascii="宋体" w:hAnsi="宋体"/>
                <w:sz w:val="24"/>
                <w:szCs w:val="24"/>
              </w:rPr>
              <w:t>名称</w:t>
            </w:r>
          </w:p>
        </w:tc>
        <w:tc>
          <w:tcPr>
            <w:tcW w:w="6692"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left="2" w:hanging="2" w:hangingChars="1"/>
              <w:rPr>
                <w:rFonts w:ascii="宋体" w:hAnsi="宋体"/>
                <w:sz w:val="24"/>
                <w:szCs w:val="24"/>
              </w:rPr>
            </w:pPr>
            <w:r>
              <w:rPr>
                <w:rFonts w:hint="eastAsia" w:ascii="宋体" w:hAnsi="宋体"/>
                <w:sz w:val="24"/>
                <w:szCs w:val="24"/>
              </w:rPr>
              <w:t>银华基金管理股份有限公司</w:t>
            </w:r>
          </w:p>
        </w:tc>
      </w:tr>
      <w:tr>
        <w:tblPrEx>
          <w:tblCellMar>
            <w:top w:w="0" w:type="dxa"/>
            <w:left w:w="0" w:type="dxa"/>
            <w:bottom w:w="0" w:type="dxa"/>
            <w:right w:w="0" w:type="dxa"/>
          </w:tblCellMar>
        </w:tblPrEx>
        <w:trPr>
          <w:jc w:val="center"/>
        </w:trPr>
        <w:tc>
          <w:tcPr>
            <w:tcW w:w="129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firstLine="0"/>
              <w:rPr>
                <w:rFonts w:ascii="宋体" w:hAnsi="宋体"/>
                <w:sz w:val="24"/>
                <w:szCs w:val="24"/>
              </w:rPr>
            </w:pPr>
            <w:r>
              <w:rPr>
                <w:rFonts w:hint="eastAsia" w:ascii="宋体" w:hAnsi="宋体"/>
                <w:sz w:val="24"/>
                <w:szCs w:val="24"/>
              </w:rPr>
              <w:t>住所</w:t>
            </w:r>
          </w:p>
        </w:tc>
        <w:tc>
          <w:tcPr>
            <w:tcW w:w="6692"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left="2" w:hanging="2" w:hangingChars="1"/>
              <w:rPr>
                <w:rFonts w:ascii="宋体" w:hAnsi="宋体"/>
                <w:sz w:val="24"/>
                <w:szCs w:val="24"/>
              </w:rPr>
            </w:pPr>
            <w:r>
              <w:rPr>
                <w:rFonts w:hint="eastAsia" w:ascii="宋体" w:hAnsi="宋体"/>
                <w:sz w:val="24"/>
                <w:szCs w:val="24"/>
              </w:rPr>
              <w:t>深圳市福田区深南大道6008号特区报业大厦19层</w:t>
            </w:r>
          </w:p>
        </w:tc>
      </w:tr>
      <w:tr>
        <w:tblPrEx>
          <w:tblCellMar>
            <w:top w:w="0" w:type="dxa"/>
            <w:left w:w="0" w:type="dxa"/>
            <w:bottom w:w="0" w:type="dxa"/>
            <w:right w:w="0" w:type="dxa"/>
          </w:tblCellMar>
        </w:tblPrEx>
        <w:trPr>
          <w:jc w:val="center"/>
        </w:trPr>
        <w:tc>
          <w:tcPr>
            <w:tcW w:w="129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firstLine="0"/>
              <w:rPr>
                <w:rFonts w:ascii="宋体" w:hAnsi="宋体"/>
                <w:sz w:val="24"/>
                <w:szCs w:val="24"/>
              </w:rPr>
            </w:pPr>
            <w:r>
              <w:rPr>
                <w:rFonts w:hint="eastAsia" w:ascii="宋体" w:hAnsi="宋体"/>
                <w:sz w:val="24"/>
                <w:szCs w:val="24"/>
              </w:rPr>
              <w:t>办公地址</w:t>
            </w:r>
          </w:p>
        </w:tc>
        <w:tc>
          <w:tcPr>
            <w:tcW w:w="6692"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left="2" w:hanging="2" w:hangingChars="1"/>
              <w:rPr>
                <w:rFonts w:ascii="宋体" w:hAnsi="宋体"/>
                <w:sz w:val="24"/>
                <w:szCs w:val="24"/>
              </w:rPr>
            </w:pPr>
            <w:r>
              <w:rPr>
                <w:rFonts w:hint="eastAsia" w:ascii="宋体" w:hAnsi="宋体"/>
                <w:sz w:val="24"/>
                <w:szCs w:val="24"/>
              </w:rPr>
              <w:t>北京市东城区东长安街1号东方广场东方经贸城C2办公楼15层</w:t>
            </w:r>
          </w:p>
        </w:tc>
      </w:tr>
      <w:tr>
        <w:tblPrEx>
          <w:tblCellMar>
            <w:top w:w="0" w:type="dxa"/>
            <w:left w:w="0" w:type="dxa"/>
            <w:bottom w:w="0" w:type="dxa"/>
            <w:right w:w="0" w:type="dxa"/>
          </w:tblCellMar>
        </w:tblPrEx>
        <w:trPr>
          <w:jc w:val="center"/>
        </w:trPr>
        <w:tc>
          <w:tcPr>
            <w:tcW w:w="129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firstLine="0"/>
              <w:rPr>
                <w:rFonts w:ascii="宋体" w:hAnsi="宋体"/>
                <w:sz w:val="24"/>
                <w:szCs w:val="24"/>
              </w:rPr>
            </w:pPr>
            <w:r>
              <w:rPr>
                <w:rFonts w:hint="eastAsia" w:ascii="宋体" w:hAnsi="宋体"/>
                <w:sz w:val="24"/>
                <w:szCs w:val="24"/>
              </w:rPr>
              <w:t>法定代表人</w:t>
            </w:r>
          </w:p>
        </w:tc>
        <w:tc>
          <w:tcPr>
            <w:tcW w:w="231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left="2" w:hanging="2" w:hangingChars="1"/>
              <w:rPr>
                <w:rFonts w:ascii="宋体" w:hAnsi="宋体"/>
                <w:sz w:val="24"/>
                <w:szCs w:val="24"/>
              </w:rPr>
            </w:pPr>
            <w:r>
              <w:rPr>
                <w:rFonts w:hint="eastAsia" w:ascii="宋体" w:hAnsi="宋体"/>
                <w:sz w:val="24"/>
                <w:szCs w:val="24"/>
              </w:rPr>
              <w:t>王珠林</w:t>
            </w:r>
          </w:p>
        </w:tc>
        <w:tc>
          <w:tcPr>
            <w:tcW w:w="12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left="2" w:hanging="2" w:hangingChars="1"/>
              <w:rPr>
                <w:rFonts w:ascii="宋体" w:hAnsi="宋体"/>
                <w:sz w:val="24"/>
                <w:szCs w:val="24"/>
              </w:rPr>
            </w:pPr>
            <w:r>
              <w:rPr>
                <w:rFonts w:hint="eastAsia" w:ascii="宋体" w:hAnsi="宋体"/>
                <w:sz w:val="24"/>
                <w:szCs w:val="24"/>
              </w:rPr>
              <w:t>设立日期</w:t>
            </w:r>
          </w:p>
        </w:tc>
        <w:tc>
          <w:tcPr>
            <w:tcW w:w="3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left="2" w:hanging="2" w:hangingChars="1"/>
              <w:rPr>
                <w:rFonts w:ascii="宋体" w:hAnsi="宋体"/>
                <w:sz w:val="24"/>
                <w:szCs w:val="24"/>
              </w:rPr>
            </w:pPr>
            <w:r>
              <w:rPr>
                <w:rFonts w:hint="eastAsia" w:ascii="宋体" w:hAnsi="宋体"/>
                <w:sz w:val="24"/>
                <w:szCs w:val="24"/>
              </w:rPr>
              <w:t>2001年5月28日</w:t>
            </w:r>
          </w:p>
        </w:tc>
      </w:tr>
      <w:tr>
        <w:tblPrEx>
          <w:tblCellMar>
            <w:top w:w="0" w:type="dxa"/>
            <w:left w:w="0" w:type="dxa"/>
            <w:bottom w:w="0" w:type="dxa"/>
            <w:right w:w="0" w:type="dxa"/>
          </w:tblCellMar>
        </w:tblPrEx>
        <w:trPr>
          <w:jc w:val="center"/>
        </w:trPr>
        <w:tc>
          <w:tcPr>
            <w:tcW w:w="129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firstLine="0"/>
              <w:rPr>
                <w:rFonts w:ascii="宋体" w:hAnsi="宋体"/>
                <w:sz w:val="24"/>
                <w:szCs w:val="24"/>
              </w:rPr>
            </w:pPr>
            <w:r>
              <w:rPr>
                <w:rFonts w:hint="eastAsia" w:ascii="宋体" w:hAnsi="宋体"/>
                <w:sz w:val="24"/>
                <w:szCs w:val="24"/>
              </w:rPr>
              <w:t>批准设立机关</w:t>
            </w:r>
          </w:p>
        </w:tc>
        <w:tc>
          <w:tcPr>
            <w:tcW w:w="231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left="2" w:hanging="2" w:hangingChars="1"/>
              <w:rPr>
                <w:rFonts w:ascii="宋体" w:hAnsi="宋体"/>
                <w:sz w:val="24"/>
                <w:szCs w:val="24"/>
              </w:rPr>
            </w:pPr>
            <w:r>
              <w:rPr>
                <w:rFonts w:hint="eastAsia" w:ascii="宋体" w:hAnsi="宋体"/>
                <w:sz w:val="24"/>
                <w:szCs w:val="24"/>
              </w:rPr>
              <w:t>中国证监会</w:t>
            </w:r>
          </w:p>
        </w:tc>
        <w:tc>
          <w:tcPr>
            <w:tcW w:w="129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left="2" w:hanging="2" w:hangingChars="1"/>
              <w:rPr>
                <w:rFonts w:ascii="宋体" w:hAnsi="宋体"/>
                <w:sz w:val="24"/>
                <w:szCs w:val="24"/>
              </w:rPr>
            </w:pPr>
            <w:r>
              <w:rPr>
                <w:rFonts w:hint="eastAsia" w:ascii="宋体" w:hAnsi="宋体"/>
                <w:sz w:val="24"/>
                <w:szCs w:val="24"/>
              </w:rPr>
              <w:t>批准设立文号</w:t>
            </w:r>
          </w:p>
        </w:tc>
        <w:tc>
          <w:tcPr>
            <w:tcW w:w="308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left="2" w:hanging="2" w:hangingChars="1"/>
              <w:rPr>
                <w:rFonts w:ascii="宋体" w:hAnsi="宋体"/>
                <w:sz w:val="24"/>
                <w:szCs w:val="24"/>
              </w:rPr>
            </w:pPr>
            <w:r>
              <w:rPr>
                <w:rFonts w:hint="eastAsia" w:ascii="宋体" w:hAnsi="宋体"/>
                <w:sz w:val="24"/>
                <w:szCs w:val="24"/>
              </w:rPr>
              <w:t>中国证监会证监基金字[2001]7号</w:t>
            </w:r>
          </w:p>
        </w:tc>
      </w:tr>
      <w:tr>
        <w:tblPrEx>
          <w:tblCellMar>
            <w:top w:w="0" w:type="dxa"/>
            <w:left w:w="0" w:type="dxa"/>
            <w:bottom w:w="0" w:type="dxa"/>
            <w:right w:w="0" w:type="dxa"/>
          </w:tblCellMar>
        </w:tblPrEx>
        <w:trPr>
          <w:jc w:val="center"/>
        </w:trPr>
        <w:tc>
          <w:tcPr>
            <w:tcW w:w="129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firstLine="0"/>
              <w:rPr>
                <w:rFonts w:ascii="宋体" w:hAnsi="宋体"/>
                <w:sz w:val="24"/>
                <w:szCs w:val="24"/>
              </w:rPr>
            </w:pPr>
            <w:r>
              <w:rPr>
                <w:rFonts w:hint="eastAsia" w:ascii="宋体" w:hAnsi="宋体"/>
                <w:sz w:val="24"/>
                <w:szCs w:val="24"/>
              </w:rPr>
              <w:t>组织形式</w:t>
            </w:r>
          </w:p>
        </w:tc>
        <w:tc>
          <w:tcPr>
            <w:tcW w:w="231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left="2" w:hanging="2" w:hangingChars="1"/>
              <w:rPr>
                <w:rFonts w:ascii="宋体" w:hAnsi="宋体"/>
                <w:sz w:val="24"/>
                <w:szCs w:val="24"/>
              </w:rPr>
            </w:pPr>
            <w:r>
              <w:rPr>
                <w:rFonts w:hint="eastAsia" w:ascii="宋体" w:hAnsi="宋体"/>
                <w:sz w:val="24"/>
                <w:szCs w:val="24"/>
              </w:rPr>
              <w:t>股份有限公司</w:t>
            </w:r>
          </w:p>
        </w:tc>
        <w:tc>
          <w:tcPr>
            <w:tcW w:w="129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left="2" w:hanging="2" w:hangingChars="1"/>
              <w:rPr>
                <w:rFonts w:ascii="宋体" w:hAnsi="宋体"/>
                <w:sz w:val="24"/>
                <w:szCs w:val="24"/>
              </w:rPr>
            </w:pPr>
            <w:r>
              <w:rPr>
                <w:rFonts w:hint="eastAsia" w:ascii="宋体" w:hAnsi="宋体"/>
                <w:sz w:val="24"/>
                <w:szCs w:val="24"/>
              </w:rPr>
              <w:t>注册资本</w:t>
            </w:r>
          </w:p>
        </w:tc>
        <w:tc>
          <w:tcPr>
            <w:tcW w:w="308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left="2" w:hanging="2" w:hangingChars="1"/>
              <w:rPr>
                <w:rFonts w:ascii="宋体" w:hAnsi="宋体"/>
                <w:sz w:val="24"/>
                <w:szCs w:val="24"/>
              </w:rPr>
            </w:pPr>
            <w:r>
              <w:rPr>
                <w:rFonts w:hint="eastAsia" w:ascii="宋体" w:hAnsi="宋体"/>
                <w:sz w:val="24"/>
                <w:szCs w:val="24"/>
              </w:rPr>
              <w:t>2.222亿元人民币</w:t>
            </w:r>
          </w:p>
        </w:tc>
      </w:tr>
      <w:tr>
        <w:tblPrEx>
          <w:tblCellMar>
            <w:top w:w="0" w:type="dxa"/>
            <w:left w:w="0" w:type="dxa"/>
            <w:bottom w:w="0" w:type="dxa"/>
            <w:right w:w="0" w:type="dxa"/>
          </w:tblCellMar>
        </w:tblPrEx>
        <w:trPr>
          <w:jc w:val="center"/>
        </w:trPr>
        <w:tc>
          <w:tcPr>
            <w:tcW w:w="129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firstLine="0"/>
              <w:rPr>
                <w:rFonts w:ascii="宋体" w:hAnsi="宋体"/>
                <w:sz w:val="24"/>
                <w:szCs w:val="24"/>
              </w:rPr>
            </w:pPr>
            <w:r>
              <w:rPr>
                <w:rFonts w:hint="eastAsia" w:ascii="宋体" w:hAnsi="宋体"/>
                <w:sz w:val="24"/>
                <w:szCs w:val="24"/>
              </w:rPr>
              <w:t>存续期间</w:t>
            </w:r>
          </w:p>
        </w:tc>
        <w:tc>
          <w:tcPr>
            <w:tcW w:w="231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left="2" w:hanging="2" w:hangingChars="1"/>
              <w:rPr>
                <w:rFonts w:ascii="宋体" w:hAnsi="宋体"/>
                <w:sz w:val="24"/>
                <w:szCs w:val="24"/>
              </w:rPr>
            </w:pPr>
            <w:r>
              <w:rPr>
                <w:rFonts w:hint="eastAsia" w:ascii="宋体" w:hAnsi="宋体"/>
                <w:sz w:val="24"/>
                <w:szCs w:val="24"/>
              </w:rPr>
              <w:t>持续经营</w:t>
            </w:r>
          </w:p>
        </w:tc>
        <w:tc>
          <w:tcPr>
            <w:tcW w:w="129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left="2" w:hanging="2" w:hangingChars="1"/>
              <w:rPr>
                <w:rFonts w:ascii="宋体" w:hAnsi="宋体"/>
                <w:sz w:val="24"/>
                <w:szCs w:val="24"/>
              </w:rPr>
            </w:pPr>
            <w:r>
              <w:rPr>
                <w:rFonts w:hint="eastAsia" w:ascii="宋体" w:hAnsi="宋体"/>
                <w:sz w:val="24"/>
                <w:szCs w:val="24"/>
              </w:rPr>
              <w:t>联系人</w:t>
            </w:r>
          </w:p>
        </w:tc>
        <w:tc>
          <w:tcPr>
            <w:tcW w:w="308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left="2" w:hanging="2" w:hangingChars="1"/>
              <w:rPr>
                <w:rFonts w:ascii="宋体" w:hAnsi="宋体"/>
                <w:sz w:val="24"/>
                <w:szCs w:val="24"/>
              </w:rPr>
            </w:pPr>
            <w:r>
              <w:rPr>
                <w:rFonts w:ascii="宋体" w:hAnsi="宋体"/>
                <w:sz w:val="24"/>
                <w:szCs w:val="24"/>
              </w:rPr>
              <w:t>兰健</w:t>
            </w:r>
          </w:p>
        </w:tc>
      </w:tr>
      <w:tr>
        <w:tblPrEx>
          <w:tblCellMar>
            <w:top w:w="0" w:type="dxa"/>
            <w:left w:w="0" w:type="dxa"/>
            <w:bottom w:w="0" w:type="dxa"/>
            <w:right w:w="0" w:type="dxa"/>
          </w:tblCellMar>
        </w:tblPrEx>
        <w:trPr>
          <w:jc w:val="center"/>
        </w:trPr>
        <w:tc>
          <w:tcPr>
            <w:tcW w:w="129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firstLine="0"/>
              <w:rPr>
                <w:rFonts w:ascii="宋体" w:hAnsi="宋体"/>
                <w:sz w:val="24"/>
                <w:szCs w:val="24"/>
              </w:rPr>
            </w:pPr>
            <w:r>
              <w:rPr>
                <w:rFonts w:hint="eastAsia" w:ascii="宋体" w:hAnsi="宋体"/>
                <w:sz w:val="24"/>
                <w:szCs w:val="24"/>
              </w:rPr>
              <w:t>电话</w:t>
            </w:r>
          </w:p>
        </w:tc>
        <w:tc>
          <w:tcPr>
            <w:tcW w:w="231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left="2" w:hanging="2" w:hangingChars="1"/>
              <w:rPr>
                <w:rFonts w:ascii="宋体" w:hAnsi="宋体"/>
                <w:sz w:val="24"/>
                <w:szCs w:val="24"/>
              </w:rPr>
            </w:pPr>
            <w:r>
              <w:rPr>
                <w:rFonts w:hint="eastAsia" w:ascii="宋体" w:hAnsi="宋体"/>
                <w:sz w:val="24"/>
                <w:szCs w:val="24"/>
              </w:rPr>
              <w:t>010-58163000</w:t>
            </w:r>
          </w:p>
        </w:tc>
        <w:tc>
          <w:tcPr>
            <w:tcW w:w="129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left="2" w:hanging="2" w:hangingChars="1"/>
              <w:rPr>
                <w:rFonts w:ascii="宋体" w:hAnsi="宋体"/>
                <w:sz w:val="24"/>
                <w:szCs w:val="24"/>
              </w:rPr>
            </w:pPr>
            <w:r>
              <w:rPr>
                <w:rFonts w:hint="eastAsia" w:ascii="宋体" w:hAnsi="宋体"/>
                <w:sz w:val="24"/>
                <w:szCs w:val="24"/>
              </w:rPr>
              <w:t>传真</w:t>
            </w:r>
          </w:p>
        </w:tc>
        <w:tc>
          <w:tcPr>
            <w:tcW w:w="308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
              <w:autoSpaceDE w:val="0"/>
              <w:autoSpaceDN w:val="0"/>
              <w:adjustRightInd w:val="0"/>
              <w:snapToGrid/>
              <w:ind w:left="2" w:hanging="2" w:hangingChars="1"/>
              <w:rPr>
                <w:rFonts w:ascii="宋体" w:hAnsi="宋体"/>
                <w:sz w:val="24"/>
                <w:szCs w:val="24"/>
              </w:rPr>
            </w:pPr>
            <w:r>
              <w:rPr>
                <w:rFonts w:hint="eastAsia" w:ascii="宋体" w:hAnsi="宋体"/>
                <w:sz w:val="24"/>
                <w:szCs w:val="24"/>
              </w:rPr>
              <w:t>010-58163090</w:t>
            </w:r>
          </w:p>
        </w:tc>
      </w:tr>
    </w:tbl>
    <w:p>
      <w:pPr>
        <w:pStyle w:val="21"/>
        <w:ind w:firstLine="480"/>
        <w:rPr>
          <w:sz w:val="24"/>
        </w:rPr>
      </w:pPr>
      <w:r>
        <w:rPr>
          <w:rFonts w:hint="eastAsia"/>
          <w:sz w:val="24"/>
        </w:rPr>
        <w:t>银华基金管理有限公司成立于2001年5月28日，是经中国证监会批准（证监基金字[2001]7号文）设立的全国性资产管理公司。公司注册资本为2.222亿元人民币，公司的股权结构为西南证券股份有限公司（出资比例44.10%）、第一创业证券股份有限公司（出资比例26.10%）、东北证券股份有限公司（出资比例18.90%）、山西海鑫实业有限公司（出资比例0.90%）、珠海银华聚义投资合伙企业（有限合伙）（出资比例3.57%）、珠海银华致信投资合伙企业（有限合伙）（出资比例3.20%）及珠海银华汇玥投资合伙企业（有限合伙）（出资比例3.22%）。公司的主要业务是基金募集、基金销售、资产管理及中国证监会许可的其他业务。公司注册地为广东省深圳市。银华基金管理有限公司的法定名称已于2016年8月9日起变更为“银华基金管理股份有限公司”。</w:t>
      </w:r>
    </w:p>
    <w:p>
      <w:pPr>
        <w:pStyle w:val="21"/>
        <w:ind w:firstLine="480"/>
        <w:rPr>
          <w:sz w:val="24"/>
        </w:rPr>
      </w:pPr>
      <w:r>
        <w:rPr>
          <w:rFonts w:hint="eastAsia"/>
          <w:sz w:val="24"/>
        </w:rPr>
        <w:t>公司治理结构完善，经营运作规范，能够切实维护基金投资人的利益。公司董事会下设“战略委员会”、“风险控制委员会”、“薪酬与提名委员会”、“审计委员会”四个专业委员会，有针对性地研究公司在经营管理和基金运作中的相关情况，制定相应的政策，并充分发挥独立董事的职能，切实加强对公司运作的监督。</w:t>
      </w:r>
    </w:p>
    <w:p>
      <w:pPr>
        <w:pStyle w:val="21"/>
        <w:ind w:firstLine="480"/>
        <w:rPr>
          <w:sz w:val="24"/>
        </w:rPr>
      </w:pPr>
      <w:r>
        <w:rPr>
          <w:rFonts w:hint="eastAsia"/>
          <w:sz w:val="24"/>
        </w:rPr>
        <w:t>公司监事会由4位监事组成，主要负责检查公司的财务以及对公司董事、高级管理人员的行为进行监督。</w:t>
      </w:r>
    </w:p>
    <w:p>
      <w:pPr>
        <w:pStyle w:val="21"/>
        <w:ind w:firstLine="480"/>
        <w:rPr>
          <w:sz w:val="24"/>
        </w:rPr>
      </w:pPr>
      <w:r>
        <w:rPr>
          <w:rFonts w:hint="eastAsia"/>
          <w:sz w:val="24"/>
        </w:rPr>
        <w:t>公司具体经营管理由总经理负责，公司根据经营运作需要设置投资管理一部、多资产投资管理部、固定收益及资产配置部、养老金投资管理部、量化投资部、境外投资部、FOF投资管理部、研究部、产品开发与管理部、营销管理与服务部、渠道业务总部、机构业务总部、养老金业务总部、指数业务部、交易管理部、风险管理部、运作保障部、信息技术部、互联网金融部、战略发展部、投资银行部、基础设施投资部、监察稽核部、内部审计部、党委办公室（党群工作部）、人力资源部、公司办公室、财务行政部、深圳管理部等职能部门，并设有北京分公司、青岛分公司、上海分公司三家分公司，以及银华长安资本管理（北京）有限公司、深圳银华永泰创新投资有限公司和银华国际资本管理有限公司三家全资子公司。此外，公司设立投资决策委员会作为公司投资业务的最高决策机构，同时下设“主动型股票投资决策、固定收益投资决策、量化和境外投资决策、养老金投资决策、基金中基金投资决策、基金投资顾问投资决策、基础设施基金投资决策”七个专门委员会。公司投资决策委员会负责确定公司投资业务理念、投资政策及投资决策流程和风险管理。</w:t>
      </w:r>
    </w:p>
    <w:p>
      <w:pPr>
        <w:pStyle w:val="21"/>
        <w:ind w:firstLine="480"/>
        <w:rPr>
          <w:sz w:val="24"/>
        </w:rPr>
      </w:pPr>
      <w:r>
        <w:rPr>
          <w:rFonts w:hint="eastAsia"/>
          <w:sz w:val="24"/>
        </w:rPr>
        <w:t>二、主要人员情况</w:t>
      </w:r>
    </w:p>
    <w:p>
      <w:pPr>
        <w:pStyle w:val="21"/>
        <w:ind w:firstLine="480"/>
        <w:rPr>
          <w:sz w:val="24"/>
        </w:rPr>
      </w:pPr>
      <w:r>
        <w:rPr>
          <w:rFonts w:hint="eastAsia"/>
          <w:sz w:val="24"/>
        </w:rPr>
        <w:t>1、基金管理人董事、监事、经理及其他高级管理人员</w:t>
      </w:r>
    </w:p>
    <w:p>
      <w:pPr>
        <w:pStyle w:val="21"/>
        <w:ind w:firstLine="480"/>
        <w:rPr>
          <w:rFonts w:hint="eastAsia"/>
          <w:sz w:val="24"/>
        </w:rPr>
      </w:pPr>
      <w:r>
        <w:rPr>
          <w:rFonts w:hint="eastAsia"/>
          <w:sz w:val="24"/>
        </w:rPr>
        <w:t>王珠林先生：董事长，经济学博士。曾任甘肃省职工财经学院财会系讲师，甘肃省证券公司发行部经理，中国蓝星化学工业总公司处长，蓝星清洗股份有限公司董事、副总经理、董事会秘书，西南证券副总裁，中国银河证券副总裁，西南证券董事、总裁；还曾先后担任中国证监会发行审核委员会委员、中国证监会上市公司并购重组审核委员会委员、中国证券业协会投资银行业委员会委员、重庆市证券期货业协会会长、中国证券业协会绿色证券专业委员会副主任委员、中证机构间报价系统股份有限公司董事。现任公司董事长，兼任银华国际资本管理有限公司董事长、银华长安资本管理（北京）有限公司董事、中国上市公司协会并购融资委员会执行主任、中国证券业协会证券行业文化建设委员会顾问、深圳证券交易所理事会创业板股票发行规范委员会委员、中国退役士兵就业创业服务促进会副理事长、重庆三峡银行股份有限公司独立董事。</w:t>
      </w:r>
    </w:p>
    <w:p>
      <w:pPr>
        <w:pStyle w:val="21"/>
        <w:ind w:firstLine="480"/>
        <w:rPr>
          <w:rFonts w:hint="eastAsia"/>
          <w:sz w:val="24"/>
        </w:rPr>
      </w:pPr>
      <w:r>
        <w:rPr>
          <w:rFonts w:hint="eastAsia"/>
          <w:sz w:val="24"/>
        </w:rPr>
        <w:t>王芳女士：董事，法学硕士、清华五道口金融EMBA。曾任大鹏证券有限责任公司法律支持部经理，第一创业证券有限责任公司首席律师、法律合规部总经理、合规总监、副总裁，第一创业证券股份有限公司副总裁、合规总监、常务副总裁。现任第一创业证券股份有限公司董事、总裁，第一创业证券承销保荐有限责任公司执行董事，深圳第一创业创新资本管理有限公司董事。</w:t>
      </w:r>
    </w:p>
    <w:p>
      <w:pPr>
        <w:pStyle w:val="21"/>
        <w:ind w:firstLine="480"/>
        <w:rPr>
          <w:rFonts w:hint="eastAsia"/>
          <w:sz w:val="24"/>
        </w:rPr>
      </w:pPr>
      <w:r>
        <w:rPr>
          <w:rFonts w:hint="eastAsia"/>
          <w:sz w:val="24"/>
        </w:rPr>
        <w:t>李福春先生：董事，中共党员，硕士研究生，高级工程师。曾任一汽集团公司发展部部长；吉林省经济贸易委员会副主任；吉林省发展和改革委员会副主任；长春市副市长；吉林省发展和改革委员会主任；吉林省政府党组成员、秘书长。现任东北证券股份有限公司董事长、党委委员，东证融汇证券资产管理有限公司董事长，中国证券业协会第七届理事会理事，深圳证券交易所第五届理事会战略发展委员会委员，上海证券交易所第五届理事会政策咨询委员会委员，吉林省证券业协会会长、证券经营机构分会会长，吉林省资本市场发展促进会会长。</w:t>
      </w:r>
    </w:p>
    <w:p>
      <w:pPr>
        <w:pStyle w:val="21"/>
        <w:ind w:firstLine="480"/>
        <w:rPr>
          <w:rFonts w:hint="eastAsia"/>
          <w:sz w:val="24"/>
        </w:rPr>
      </w:pPr>
      <w:r>
        <w:rPr>
          <w:rFonts w:hint="eastAsia"/>
          <w:sz w:val="24"/>
        </w:rPr>
        <w:t>吴坚先生：董事，中共党员，研究员。曾任重庆证监局上市处处长；重庆渝富资产经营管理集团有限公司党委委员、副总经理；重庆东源产业投资股份有限公司董事长；重庆上市公司董事长协会秘书长；安诚财产保险股份有限公司副董事长；重庆银海融资租赁有限公司董事长；西南药业股份有限公司独立董事；西南证券股份有限公司董事；西南证券股份有限公司党委委员、副总裁；西南证券股份有限公司党委副书记、总裁；重庆股份转让中心有限责任公司董事长；重庆仲裁委仲裁员；上交所第四届理事会会员自律管理委员会委员；重庆市证券期货业协会会长。现任西南证券党委书记、董事长，中国证券业协会托管结算委员会主任委员。</w:t>
      </w:r>
    </w:p>
    <w:p>
      <w:pPr>
        <w:pStyle w:val="21"/>
        <w:ind w:firstLine="480"/>
        <w:rPr>
          <w:rFonts w:hint="eastAsia"/>
          <w:sz w:val="24"/>
        </w:rPr>
      </w:pPr>
      <w:r>
        <w:rPr>
          <w:rFonts w:hint="eastAsia"/>
          <w:sz w:val="24"/>
        </w:rPr>
        <w:t>王立新先生：董事，总经理，经济学博士。中国证券投资基金行业最早的从业者之一，从业经验超过20年。他参与创始的南方基金和目前领导的银华基金是中国优秀的基金管理公司。曾就读于北京大学哲学系、中央党校研究生部、中国社会科学院研究生部、长江商学院EMBA。先后就职于中国工商银行总行、中国农村发展信托投资公司、南方证券股份有限公司基金部；参与筹建南方基金管理有限公司，并历任南方基金研究开发部、市场拓展部总监。现任银华基金管理股份有限公司总经理、银华长安资本管理（北京）有限公司董事长、银华基金投资决策委员会主席。此外，兼任中国基金业协会兼职副会长、香山财富论坛发起理事、秘书长、香山财富管理研究院院长、《中国证券投资基金年鉴》副主编、《证券时报》第三届专家委员会委员、北京大学校友会理事、北京大学企业家俱乐部理事、北京大学哲学系系友会秘书长、北京大学教育基金会投委会委员、北京大学金融校友联合会副会长。</w:t>
      </w:r>
    </w:p>
    <w:p>
      <w:pPr>
        <w:pStyle w:val="21"/>
        <w:ind w:firstLine="480"/>
        <w:rPr>
          <w:rFonts w:hint="eastAsia"/>
          <w:sz w:val="24"/>
        </w:rPr>
      </w:pPr>
      <w:r>
        <w:rPr>
          <w:rFonts w:hint="eastAsia"/>
          <w:sz w:val="24"/>
        </w:rPr>
        <w:t>郑秉文先生：独立董事，经济学博士，教授，博士生导师。曾任中国社会科学院研究生院副院长，欧洲所副所长，拉美所所长和美国所所长，第十三届全国政协委员。现任中国社科院世界社保研究中心主任，中国社会科学院社会保障实验室首席专家，中国社科院大学政府管理学院教授、博士生导师，政府特殊津贴享受者，人力资源和社会保障部咨询专家委员会委员，在北京大学、中国人民大学、国家行政学院、武汉大学等十几所大学担任客座教授。</w:t>
      </w:r>
    </w:p>
    <w:p>
      <w:pPr>
        <w:pStyle w:val="21"/>
        <w:ind w:firstLine="480"/>
        <w:rPr>
          <w:rFonts w:hint="eastAsia"/>
          <w:sz w:val="24"/>
        </w:rPr>
      </w:pPr>
      <w:r>
        <w:rPr>
          <w:rFonts w:hint="eastAsia"/>
          <w:sz w:val="24"/>
        </w:rPr>
        <w:t>刘星先生：独立董事，管理学博士，中国注册会计师协会非执业会员，国务院“政府特殊津贴”获得者，全国先进会计（教育）工作者。曾任中国会计学会理事、中国会计学会教育分会会长、中国会计学会对外学术交流专业委员会副主任。现任重庆大学经济与工商管理学院会计学教授、博士生导师，中国企业管理协会常务理事，中国管理现代化研究会常务理事，中国优选法统筹与经济数学研究会常务理事，并担任电科芯片、重庆银行、丽江股份三家上市公司独立董事职务。</w:t>
      </w:r>
    </w:p>
    <w:p>
      <w:pPr>
        <w:pStyle w:val="21"/>
        <w:ind w:firstLine="480"/>
        <w:rPr>
          <w:rFonts w:hint="eastAsia"/>
          <w:sz w:val="24"/>
        </w:rPr>
      </w:pPr>
      <w:r>
        <w:rPr>
          <w:rFonts w:hint="eastAsia"/>
          <w:sz w:val="24"/>
        </w:rPr>
        <w:t>邢冬梅女士：独立董事，法律硕士，律师。曾任职于司法部中国法律事务中心(后更名为信利律师事务所)，并历任北京市共和律师事务所合伙人。现任北京天达共和律师事务所管理合伙人、业务管理委员会主任，同时兼任北京朝阳区律师行业新联会会长。</w:t>
      </w:r>
    </w:p>
    <w:p>
      <w:pPr>
        <w:pStyle w:val="21"/>
        <w:ind w:firstLine="480"/>
        <w:rPr>
          <w:rFonts w:hint="eastAsia"/>
          <w:sz w:val="24"/>
        </w:rPr>
      </w:pPr>
      <w:r>
        <w:rPr>
          <w:rFonts w:hint="eastAsia"/>
          <w:sz w:val="24"/>
        </w:rPr>
        <w:t>封和平先生：独立董事，会计学硕士，中国注册会计师。曾任职于财政部所属中华财务会计咨询公司，并历任安达信华强会计师事务所副总经理、合伙人，普华永道会计师事务所合伙人、北京主管合伙人，摩根士丹利中国区副主席；还曾担任中国证监会发行审核委员会委员、中国证监会上市公司并购重组审核委员会委员、第29届奥运会北京奥组委财务顾问。</w:t>
      </w:r>
    </w:p>
    <w:p>
      <w:pPr>
        <w:pStyle w:val="21"/>
        <w:ind w:firstLine="480"/>
        <w:rPr>
          <w:rFonts w:hint="eastAsia"/>
          <w:sz w:val="24"/>
        </w:rPr>
      </w:pPr>
      <w:r>
        <w:rPr>
          <w:rFonts w:hint="eastAsia"/>
          <w:sz w:val="24"/>
        </w:rPr>
        <w:t>马东军先生：监事会主席，研究生，注册会计师、注册评估师。曾任天勤会计师事务所和中天勤会计师事务所合伙人，深圳同盛创业投资管理有限公司合伙人，日域（美国）国际工程有限公司财务部国际财务总监，深圳发展银行（现更名为平安银行）总行稽核部副总经理（主持工作），第一创业证券股份有限公司计划财务部负责人，第一创业证券股份有限公司董事会秘书，兼任第一创业证券承销保荐有限责任公司董事、第一创业期货有限责任公司监事、第一创业期货有限责任公司董事等职务。现任第一创业证券股份有限公司副总裁兼财务总监、第一创业投资管理有限公司董事、深圳第一创业创新资本管理有限公司董事长兼总经理。</w:t>
      </w:r>
    </w:p>
    <w:p>
      <w:pPr>
        <w:pStyle w:val="21"/>
        <w:ind w:firstLine="480"/>
        <w:rPr>
          <w:rFonts w:hint="eastAsia"/>
          <w:sz w:val="24"/>
        </w:rPr>
      </w:pPr>
      <w:r>
        <w:rPr>
          <w:rFonts w:hint="eastAsia"/>
          <w:sz w:val="24"/>
        </w:rPr>
        <w:t>李军先生：监事，中共党员，博士研究生，曾任西南证券有限责任公司成都营业部总经理助理、业务总监，经纪业务部副总经理，重庆市国资委副处长、处长兼重庆渝富资产经营管理集团有限公司外部董事、西南期货有限公司董事。现任西南证券股份有限公司董事会秘书、经纪业务事业部执行总裁兼运营管理部总经理、西证创新投资有限公司董事。</w:t>
      </w:r>
    </w:p>
    <w:p>
      <w:pPr>
        <w:pStyle w:val="21"/>
        <w:ind w:firstLine="480"/>
        <w:rPr>
          <w:rFonts w:hint="eastAsia"/>
          <w:sz w:val="24"/>
        </w:rPr>
      </w:pPr>
      <w:r>
        <w:rPr>
          <w:rFonts w:hint="eastAsia"/>
          <w:sz w:val="24"/>
        </w:rPr>
        <w:t>龚飒女士：监事，硕士学历。曾任湘财证券有限责任公司分支机构财务负责人，泰达荷银基金管理有限公司基金事业部副总经理（主持工作），湘财证券有限责任公司稽核经理，交银施罗德基金管理有限公司运营部总经理，银华基金管理股份有限公司运作保障部总监、机构业务部总监。现任公司总经理助理兼养老金业务总部总监。</w:t>
      </w:r>
    </w:p>
    <w:p>
      <w:pPr>
        <w:pStyle w:val="21"/>
        <w:ind w:firstLine="480"/>
        <w:rPr>
          <w:rFonts w:hint="eastAsia"/>
          <w:sz w:val="24"/>
        </w:rPr>
      </w:pPr>
      <w:r>
        <w:rPr>
          <w:rFonts w:hint="eastAsia"/>
          <w:sz w:val="24"/>
        </w:rPr>
        <w:t>杜永军先生：监事，大专学历。曾任五洲大酒店财务部主管，北京赛特饭店财务部主管、主任、经理助理、副经理、经理，银华基金管理股份有限公司财务行政部总监助理。现任公司财务行政部副总监。</w:t>
      </w:r>
    </w:p>
    <w:p>
      <w:pPr>
        <w:pStyle w:val="21"/>
        <w:ind w:firstLine="480"/>
        <w:rPr>
          <w:rFonts w:hint="eastAsia"/>
          <w:sz w:val="24"/>
        </w:rPr>
      </w:pPr>
      <w:r>
        <w:rPr>
          <w:rFonts w:hint="eastAsia"/>
          <w:sz w:val="24"/>
        </w:rPr>
        <w:t>凌宇翔先生：副总经理，工商管理硕士。曾任职于机械工业部、西南证券有限责任公司。2001年起任银华基金管理有限公司督察长。现任公司副总经理。</w:t>
      </w:r>
    </w:p>
    <w:p>
      <w:pPr>
        <w:pStyle w:val="21"/>
        <w:ind w:firstLine="480"/>
        <w:rPr>
          <w:rFonts w:hint="eastAsia"/>
          <w:sz w:val="24"/>
        </w:rPr>
      </w:pPr>
      <w:r>
        <w:rPr>
          <w:rFonts w:hint="eastAsia"/>
          <w:sz w:val="24"/>
        </w:rPr>
        <w:t>周毅先生：副总经理，CFA，硕士学位，国家特聘专家。现任银华基金副总经理、银华国际资本总经理，分管指数基金投资、数量化投资、境外投资及国际业务。周毅先生毕业于中国北京大学、美国南卡罗莱纳大学、美国约翰霍普金斯大学，拥有23年证券从业经验。回国加入银华基金前，先后在美国普华永道金融部，巴克莱资本，巴克莱亚太集团等金融机构从事数量化投资工作。</w:t>
      </w:r>
    </w:p>
    <w:p>
      <w:pPr>
        <w:pStyle w:val="21"/>
        <w:ind w:firstLine="480"/>
        <w:rPr>
          <w:rFonts w:hint="eastAsia"/>
          <w:sz w:val="24"/>
        </w:rPr>
      </w:pPr>
      <w:r>
        <w:rPr>
          <w:rFonts w:hint="eastAsia"/>
          <w:sz w:val="24"/>
        </w:rPr>
        <w:t>杨文辉先生：督察长，法学博士。曾任职于北京市水利经济发展有限公司、中国证监会。现任银华基金管理股份有限公司督察长，兼任银华长安资本管理（北京）有限公司董事、银华国际资本管理有限公司董事，深圳市银华公益基金会理事长。</w:t>
      </w:r>
    </w:p>
    <w:p>
      <w:pPr>
        <w:pStyle w:val="21"/>
        <w:ind w:firstLine="480"/>
        <w:rPr>
          <w:rFonts w:hint="eastAsia"/>
          <w:sz w:val="24"/>
        </w:rPr>
      </w:pPr>
      <w:r>
        <w:rPr>
          <w:rFonts w:hint="eastAsia"/>
          <w:sz w:val="24"/>
        </w:rPr>
        <w:t>苏薪茗先生：副总经理，博士研究生，获得中国政法大学法学学士、清华大学法律硕士、英国剑桥大学哲学硕士、中国社会科学院研究生院经济学博士（金融学专业）学位。曾先后担任福建日报社要闻采访部记者，中国银监会政策法规部创新处主任科员，中国银监会创新监管部综合处副处长，中国银监会创新监管部产品创新处处长，中国银监会湖北银监局副局长。现任公司副总经理、银华长安资本管理（北京）有限公司董事、银华国际资本管理有限公司董事。</w:t>
      </w:r>
    </w:p>
    <w:p>
      <w:pPr>
        <w:pStyle w:val="21"/>
        <w:ind w:firstLine="480"/>
        <w:rPr>
          <w:rFonts w:hint="eastAsia"/>
          <w:sz w:val="24"/>
        </w:rPr>
      </w:pPr>
      <w:r>
        <w:rPr>
          <w:rFonts w:hint="eastAsia"/>
          <w:sz w:val="24"/>
        </w:rPr>
        <w:t>邓列军先生：首席信息官，清华大学软件工程硕士。曾在汇添富基金管理股份有限公司先后任职信息技术部总监助理、副总监、总监，浦银安盛基金管理有限公司任职副总经理兼首席信息官。现任银华基金管理股份有限公司首席信息官。</w:t>
      </w:r>
    </w:p>
    <w:p>
      <w:pPr>
        <w:pStyle w:val="21"/>
        <w:ind w:firstLine="480"/>
        <w:rPr>
          <w:rFonts w:hint="eastAsia"/>
          <w:sz w:val="24"/>
        </w:rPr>
      </w:pPr>
      <w:r>
        <w:rPr>
          <w:rFonts w:hint="eastAsia"/>
          <w:sz w:val="24"/>
        </w:rPr>
        <w:t>郑蓓雷女士：财务负责人，工商管理硕士。曾就职于中国贸促会北京分会、搜狐公司、中国网通公司、西南证券、红塔证券。2011年6月加入银华基金，历任人力资源部副总监、总监、总经理助理。现任公司财务负责人兼人力资源部总监。</w:t>
      </w:r>
    </w:p>
    <w:p>
      <w:pPr>
        <w:pStyle w:val="21"/>
        <w:ind w:firstLine="480"/>
        <w:rPr>
          <w:rFonts w:hint="eastAsia"/>
          <w:sz w:val="24"/>
        </w:rPr>
      </w:pPr>
      <w:r>
        <w:rPr>
          <w:rFonts w:hint="eastAsia"/>
          <w:sz w:val="24"/>
        </w:rPr>
        <w:t>王勇先生：董事会秘书，管理学博士。曾任职于西南证券股份有限公司。现任公司董事会秘书、投资银行部总监、公司办公室副总监，兼任银华国际资本管理有限公司董事、副总经理，银华长安资本管理（北京）有限公司监事、深圳银华永泰创新投资有限公司监事。</w:t>
      </w:r>
    </w:p>
    <w:p>
      <w:pPr>
        <w:pStyle w:val="21"/>
        <w:ind w:firstLine="480"/>
        <w:rPr>
          <w:bCs/>
          <w:sz w:val="24"/>
        </w:rPr>
      </w:pPr>
      <w:r>
        <w:rPr>
          <w:rFonts w:hint="eastAsia"/>
          <w:bCs/>
          <w:sz w:val="24"/>
        </w:rPr>
        <w:t>2、本基金拟任基金经理</w:t>
      </w:r>
    </w:p>
    <w:p>
      <w:pPr>
        <w:pStyle w:val="21"/>
        <w:ind w:firstLine="480"/>
        <w:rPr>
          <w:bCs/>
          <w:sz w:val="24"/>
        </w:rPr>
      </w:pPr>
      <w:r>
        <w:rPr>
          <w:rFonts w:hint="eastAsia"/>
          <w:sz w:val="24"/>
        </w:rPr>
        <w:t>王帅先生：硕士学位。曾就职于泰康资产管理有限责任公司、工银瑞信基金管理有限公司、工银瑞信投资管理有限公司，2018年8月加入银华基金，历任量化投资部基金经理助理，现任量化投资部基金经理。自2019年6月28日至2021年2月25日担任银华深证100交易型开放式指数证券投资基金基金经理，自2019年11月1日至2021年5月19日兼任银华中证研发创新100交易型开放式指数证券投资基金基金经理，自2019年12月6日至2021年2月25日兼任银华巨潮小盘价值交易型开放式指数证券投资基金基金经理，自2020年1月22日起兼任银华中证5G通信主题交易型开放式指数证券投资基金基金经理，自2020年3月20日起兼任银华中证创新药产业交易型开放式指数证券投资基金基金经理，自2020年5月28日至2023年4月12日兼任银华中证5G通信主题交易型开放式指数证券投资基金联接基金基金经理，自2020年12月10日至2022年6月20日兼任银华中证农业主题交易型开放式指数证券投资基金基金经理，自2021年1月5日起兼任银华中证光伏产业交易型开放式指数证券投资基金基金经理，自2021年2月3日至2022年6月20日兼任银华巨潮小盘价值交易型开放式指数证券投资基金发起式联接基金基金经理，自2021年2月4日起兼任银华中证沪港深500交易型开放式指数证券投资基金基金经理，自2021年2月9日至2022年6月20日兼任银华中证影视主题交易型开放式指数证券投资基金基金经理，自2021年3月3日起兼任银华中证全指证券公司交易型开放式指数证券投资基金基金经理，自2021年3月10日至2022年6月20日兼任银华中证有色金属交易型开放式指数证券投资基金基金经理，自2021年4月29日起兼任银华中证基建交易型开放式指数证券投资基金基金经理，自2021年6月29日起兼任银华中证科创创业50交易型开放式指数证券投资基金基金经理，自2021年10月26日至2023年4月6日兼任银华中证细分食品饮料产业主题交易型开放式指数证券投资基金基金经理，自2021年12月7日至2023年7月28日兼任银华中证细分化工产业主题交易型开放式指数证券投资基金基金经理，自2021年12月30日起兼任银华中证创新药产业交易型开放式指数证券投资基金发起式联接基金基金经理，自2022年1月4日至2024年1月23日兼任银华中证现代物流交易型开放式指数证券投资基金基金经理，自2022年2月18日至2023年3月17日兼任银华中证消费电子主题交易型开放式指数证券投资基金基金经理，自2022年6月30日至2024年1月23日兼任银华中证全指电力公用事业交易型开放式指数证券投资基金基金经理，自2022年9月1日起兼任银华沪深300成长交易型开放式指数证券投资基金基金经理，自2022年11月24日至2024年1月23日兼任银华中证1000增强策略交易型开放式指数证券投资基金基金经理，自2022年12月29日至2024年1月23日兼任银华沪深300价值交易型开放式指数证券投资基金基金经理，自2023年6月26日起兼任银华中证国新央企科技引领交易型开放式指数证券投资基金基金经理，自2023年8月23日起兼任银华中证800增强策略交易型开放式指数证券投资基金基金经理，自2024年1月25日起兼任银华中证国新央企科技引领交易型开放式指数证券投资基金联接基金基金经理，自2024年3月6日起兼任银华中证A50交易型开放式指数证券投资基金基金经理。</w:t>
      </w:r>
    </w:p>
    <w:p>
      <w:pPr>
        <w:pStyle w:val="21"/>
        <w:ind w:firstLine="480"/>
        <w:rPr>
          <w:bCs/>
          <w:sz w:val="24"/>
          <w:szCs w:val="24"/>
        </w:rPr>
      </w:pPr>
      <w:r>
        <w:rPr>
          <w:rFonts w:hint="eastAsia"/>
          <w:bCs/>
          <w:sz w:val="24"/>
          <w:szCs w:val="24"/>
        </w:rPr>
        <w:t>3、公司投资决策委员会成员</w:t>
      </w:r>
    </w:p>
    <w:p>
      <w:pPr>
        <w:pStyle w:val="21"/>
        <w:ind w:firstLine="480"/>
        <w:rPr>
          <w:rFonts w:hint="eastAsia" w:cs="宋体"/>
          <w:sz w:val="24"/>
          <w:szCs w:val="24"/>
        </w:rPr>
      </w:pPr>
      <w:r>
        <w:rPr>
          <w:rFonts w:hint="eastAsia" w:cs="宋体"/>
          <w:sz w:val="24"/>
          <w:szCs w:val="24"/>
        </w:rPr>
        <w:t>委员会主席：王立新</w:t>
      </w:r>
      <w:r>
        <w:rPr>
          <w:rFonts w:hint="eastAsia" w:cs="宋体"/>
          <w:sz w:val="24"/>
          <w:szCs w:val="24"/>
        </w:rPr>
        <w:tab/>
      </w:r>
    </w:p>
    <w:p>
      <w:pPr>
        <w:pStyle w:val="21"/>
        <w:ind w:firstLine="480"/>
        <w:rPr>
          <w:rFonts w:hint="eastAsia" w:cs="宋体"/>
          <w:sz w:val="24"/>
          <w:szCs w:val="24"/>
        </w:rPr>
      </w:pPr>
      <w:r>
        <w:rPr>
          <w:rFonts w:hint="eastAsia" w:cs="宋体"/>
          <w:sz w:val="24"/>
          <w:szCs w:val="24"/>
        </w:rPr>
        <w:t>委员：周毅、姜永康、王华、李晓星、吴伟、董岚枫、肖侃宁、杨宇、倪明</w:t>
      </w:r>
    </w:p>
    <w:p>
      <w:pPr>
        <w:pStyle w:val="21"/>
        <w:ind w:firstLine="480"/>
        <w:rPr>
          <w:rFonts w:hint="eastAsia" w:cs="宋体"/>
          <w:sz w:val="24"/>
          <w:szCs w:val="24"/>
        </w:rPr>
      </w:pPr>
      <w:r>
        <w:rPr>
          <w:rFonts w:hint="eastAsia" w:cs="宋体"/>
          <w:sz w:val="24"/>
          <w:szCs w:val="24"/>
        </w:rPr>
        <w:t>王立新先生：详见主要人员情况。</w:t>
      </w:r>
    </w:p>
    <w:p>
      <w:pPr>
        <w:pStyle w:val="21"/>
        <w:ind w:firstLine="480"/>
        <w:rPr>
          <w:rFonts w:hint="eastAsia" w:cs="宋体"/>
          <w:sz w:val="24"/>
          <w:szCs w:val="24"/>
        </w:rPr>
      </w:pPr>
      <w:r>
        <w:rPr>
          <w:rFonts w:hint="eastAsia" w:cs="宋体"/>
          <w:sz w:val="24"/>
          <w:szCs w:val="24"/>
        </w:rPr>
        <w:t>周毅先生：详见主要人员情况。</w:t>
      </w:r>
    </w:p>
    <w:p>
      <w:pPr>
        <w:pStyle w:val="21"/>
        <w:ind w:firstLine="480"/>
        <w:rPr>
          <w:rFonts w:hint="eastAsia" w:cs="宋体"/>
          <w:sz w:val="24"/>
          <w:szCs w:val="24"/>
        </w:rPr>
      </w:pPr>
      <w:r>
        <w:rPr>
          <w:rFonts w:hint="eastAsia" w:cs="宋体"/>
          <w:sz w:val="24"/>
          <w:szCs w:val="24"/>
        </w:rPr>
        <w:t>姜永康先生：高级董事总经理，理学硕士。曾就职于中国平安保险（集团）股份有限公司。2005年10月加入银华基金，历任基金经理、总经理助理，现任养老金投资管理部总监、投资经理以及银华长安资本管理（北京）有限公司董事、银华国际资本管理有限公司董事，公司业务副总经理，自2017年9月起担任高级董事总经理。</w:t>
      </w:r>
    </w:p>
    <w:p>
      <w:pPr>
        <w:pStyle w:val="21"/>
        <w:ind w:firstLine="480"/>
        <w:rPr>
          <w:rFonts w:hint="eastAsia" w:cs="宋体"/>
          <w:sz w:val="24"/>
          <w:szCs w:val="24"/>
        </w:rPr>
      </w:pPr>
      <w:r>
        <w:rPr>
          <w:rFonts w:hint="eastAsia" w:cs="宋体"/>
          <w:sz w:val="24"/>
          <w:szCs w:val="24"/>
        </w:rPr>
        <w:t>王华先生：高级董事总经理，经济学硕士。曾就职于西南证券有限责任公司。 2000年10月加入银华基金（筹），历任基金经理、总经理助理，现任公司业务副总经理、主动型股票投资决策专门委员会联席主席、A股基金投资总监、多资产投资管理部总监、社保和基本养老组合投资经理、投资经理。</w:t>
      </w:r>
    </w:p>
    <w:p>
      <w:pPr>
        <w:pStyle w:val="21"/>
        <w:ind w:firstLine="480"/>
        <w:rPr>
          <w:rFonts w:hint="eastAsia" w:cs="宋体"/>
          <w:sz w:val="24"/>
          <w:szCs w:val="24"/>
        </w:rPr>
      </w:pPr>
      <w:r>
        <w:rPr>
          <w:rFonts w:hint="eastAsia" w:cs="宋体"/>
          <w:sz w:val="24"/>
          <w:szCs w:val="24"/>
        </w:rPr>
        <w:t>李晓星先生：北京理工大学学士、英国帝国理工大学工程硕士、英国剑桥大学工学硕士。曾就职于ABB（中国）有限公司。2011年3月加入银华基金，历任研究部助理行业研究员、投资管理部基金经理助理、投资管理一部基金经理，现任公司业务副总经理、投资管理一部投资总监、基金经理、投资经理（社保基本养老）、主动型股票投资决策专门委员会联席主席。</w:t>
      </w:r>
    </w:p>
    <w:p>
      <w:pPr>
        <w:pStyle w:val="21"/>
        <w:ind w:firstLine="480"/>
        <w:rPr>
          <w:rFonts w:hint="eastAsia" w:cs="宋体"/>
          <w:sz w:val="24"/>
          <w:szCs w:val="24"/>
        </w:rPr>
      </w:pPr>
      <w:r>
        <w:rPr>
          <w:rFonts w:hint="eastAsia" w:cs="宋体"/>
          <w:sz w:val="24"/>
          <w:szCs w:val="24"/>
        </w:rPr>
        <w:t>吴伟先生：金融学硕士。曾先后担任中国银行北京市分行副科长、卢森堡分行副经理，中国民生银行资产管理部副总经理、民生理财有限责任公司副总裁等职务。现任公司业务副总经理。</w:t>
      </w:r>
    </w:p>
    <w:p>
      <w:pPr>
        <w:pStyle w:val="21"/>
        <w:ind w:firstLine="480"/>
        <w:rPr>
          <w:rFonts w:hint="eastAsia" w:cs="宋体"/>
          <w:sz w:val="24"/>
          <w:szCs w:val="24"/>
        </w:rPr>
      </w:pPr>
      <w:r>
        <w:rPr>
          <w:rFonts w:hint="eastAsia" w:cs="宋体"/>
          <w:sz w:val="24"/>
          <w:szCs w:val="24"/>
        </w:rPr>
        <w:t>董岚枫先生：清华大学工学学士、硕士、博士。曾就职于中国五矿集团。2010年10月加入银华基金，历任研究部助理行业研究员、行业研究员、研究组长、研究部总监助理、副总监，现任公司总经理助理兼研究部总监。</w:t>
      </w:r>
    </w:p>
    <w:p>
      <w:pPr>
        <w:pStyle w:val="21"/>
        <w:ind w:firstLine="480"/>
        <w:rPr>
          <w:rFonts w:hint="eastAsia" w:cs="宋体"/>
          <w:sz w:val="24"/>
          <w:szCs w:val="24"/>
        </w:rPr>
      </w:pPr>
      <w:r>
        <w:rPr>
          <w:rFonts w:hint="eastAsia" w:cs="宋体"/>
          <w:sz w:val="24"/>
          <w:szCs w:val="24"/>
        </w:rPr>
        <w:t>肖侃宁先生：硕士研究生。曾在南方证券武汉总部任投资理财部投资经理，天同（万家）基金管理有限公司任天同180指数基金、天同保本基金及万家货币基金基金经理，太平养老保险股份有限公司投资管理中心任投资经理管理企业年金，在长江养老保险股份有限公司历任投资管理部副总经理、总经理、投资总监、公司总经理助理（分管投资和研究工作）。2016年8月加入银华基金管理股份有限公司，现任FOF投资总监、FOF投资管理部总监，兼任银华尊和养老目标日期2035三年持有期混合型基金中基金（FOF）、银华尊和养老目标日期2040三年持有期混合型发起式基金中基金（FOF）、银华尊和养老目标日期2030三年持有期混合型发起式基金中基金（FOF）、银华尊尚稳健养老目标一年持有期混合型发起式基金中基金（FOF）、银华尊颐稳健养老目标一年持有期混合型发起式基金中基金（FOF）、银华尊禧稳健养老目标一年持有期混合型发起式基金中基金（FOF）、银华尊和养老目标日期2045三年持有期混合型发起式基金中基金（FOF）、银华玉衡定投三个月持有期混合型发起式基金中基金（FOF）及银华华利均衡优选一年持有期混合型基金中基金（FOF）基金经理。</w:t>
      </w:r>
    </w:p>
    <w:p>
      <w:pPr>
        <w:pStyle w:val="21"/>
        <w:ind w:firstLine="480"/>
        <w:rPr>
          <w:rFonts w:hint="eastAsia" w:cs="宋体"/>
          <w:sz w:val="24"/>
          <w:szCs w:val="24"/>
        </w:rPr>
      </w:pPr>
      <w:r>
        <w:rPr>
          <w:rFonts w:hint="eastAsia" w:cs="宋体"/>
          <w:sz w:val="24"/>
          <w:szCs w:val="24"/>
        </w:rPr>
        <w:t>杨宇先生：中央财经大学经济学硕士。历任CCTV证券资讯频道主持人、制片人，新浪仓石基金销售有限公司高级基金研究员，北京恒天明泽基金销售有限公司研究产品部经理，银华基金电子商务部高级经理，华宝证券首席财富官。现任公司基金投资顾问投资决策专门委员会主席、资产配置与投顾服务委员会办公室主任。</w:t>
      </w:r>
    </w:p>
    <w:p>
      <w:pPr>
        <w:pStyle w:val="21"/>
        <w:ind w:firstLine="480"/>
        <w:rPr>
          <w:rFonts w:cs="宋体"/>
          <w:sz w:val="24"/>
          <w:szCs w:val="24"/>
        </w:rPr>
      </w:pPr>
      <w:r>
        <w:rPr>
          <w:rFonts w:hint="eastAsia" w:cs="宋体"/>
          <w:sz w:val="24"/>
          <w:szCs w:val="24"/>
        </w:rPr>
        <w:t>倪明先生：经济学博士。曾在大成基金管理有限公司从事研究分析工作，历任债券信用分析师、债券基金助理、行业研究员、股票基金助理等职，并曾任大成创新成长混合型证券投资基金基金经理职务。2011年4月加盟银华基金管理有限公司。现任投资管理一部副总监兼基金经理。曾任银华内需精选混合型证券投资基金（LOF）、银华估值优势混合型证券投资基金、银华稳利灵活配置混合型证券投资基金基金经理。现任银华核心价值优选混合型证券投资基金、银华领先策略混合型证券投资基金、银华战略新兴灵活配置定期开放混合型发起式证券投资基金、银华明择多策略定期开放混合型证券投资基金及银华丰享一年持有期混合型证券投资基金基金经理。</w:t>
      </w:r>
    </w:p>
    <w:p>
      <w:pPr>
        <w:pStyle w:val="21"/>
        <w:ind w:firstLine="482" w:firstLineChars="0"/>
        <w:rPr>
          <w:rFonts w:cs="宋体"/>
          <w:sz w:val="24"/>
          <w:szCs w:val="24"/>
        </w:rPr>
      </w:pPr>
      <w:r>
        <w:rPr>
          <w:rFonts w:hint="eastAsia" w:cs="宋体"/>
          <w:sz w:val="24"/>
          <w:szCs w:val="24"/>
        </w:rPr>
        <w:t>4、上述人员之间均不存在近亲属关系。</w:t>
      </w:r>
    </w:p>
    <w:p>
      <w:pPr>
        <w:pStyle w:val="21"/>
        <w:ind w:firstLine="482" w:firstLineChars="0"/>
        <w:rPr>
          <w:rFonts w:cs="宋体"/>
          <w:sz w:val="24"/>
          <w:szCs w:val="24"/>
        </w:rPr>
      </w:pPr>
      <w:r>
        <w:rPr>
          <w:rFonts w:hint="eastAsia" w:cs="宋体"/>
          <w:sz w:val="24"/>
          <w:szCs w:val="24"/>
        </w:rPr>
        <w:t>三、基金管理人的权利与义务</w:t>
      </w:r>
    </w:p>
    <w:p>
      <w:pPr>
        <w:pStyle w:val="21"/>
        <w:ind w:firstLine="482" w:firstLineChars="0"/>
        <w:rPr>
          <w:rFonts w:cs="宋体"/>
          <w:sz w:val="24"/>
          <w:szCs w:val="24"/>
        </w:rPr>
      </w:pPr>
      <w:r>
        <w:rPr>
          <w:rFonts w:hint="eastAsia" w:cs="宋体"/>
          <w:sz w:val="24"/>
          <w:szCs w:val="24"/>
        </w:rPr>
        <w:t>1、根据《基金法》、《运作办法》及其他有关规定，基金管理人的权利包括但不限于：</w:t>
      </w:r>
    </w:p>
    <w:p>
      <w:pPr>
        <w:pStyle w:val="21"/>
        <w:ind w:firstLine="480"/>
        <w:rPr>
          <w:bCs/>
          <w:sz w:val="24"/>
        </w:rPr>
      </w:pPr>
      <w:bookmarkStart w:id="19" w:name="_Hlk130220613"/>
      <w:r>
        <w:rPr>
          <w:rFonts w:hint="eastAsia"/>
          <w:bCs/>
          <w:sz w:val="24"/>
        </w:rPr>
        <w:t>（1）依法募集资金；</w:t>
      </w:r>
    </w:p>
    <w:p>
      <w:pPr>
        <w:pStyle w:val="21"/>
        <w:ind w:firstLine="480"/>
        <w:rPr>
          <w:bCs/>
          <w:sz w:val="24"/>
        </w:rPr>
      </w:pPr>
      <w:r>
        <w:rPr>
          <w:rFonts w:hint="eastAsia"/>
          <w:bCs/>
          <w:sz w:val="24"/>
        </w:rPr>
        <w:t>（2）自基金合同生效之日起，根据法律法规和基金合同独立运用并管理基金财产；</w:t>
      </w:r>
    </w:p>
    <w:p>
      <w:pPr>
        <w:pStyle w:val="21"/>
        <w:ind w:firstLine="480"/>
        <w:rPr>
          <w:bCs/>
          <w:sz w:val="24"/>
        </w:rPr>
      </w:pPr>
      <w:r>
        <w:rPr>
          <w:rFonts w:hint="eastAsia"/>
          <w:bCs/>
          <w:sz w:val="24"/>
        </w:rPr>
        <w:t>（3）依照基金合同收取基金管理费以及法律法规规定或中国证监会批准的其他费用；</w:t>
      </w:r>
    </w:p>
    <w:p>
      <w:pPr>
        <w:pStyle w:val="21"/>
        <w:ind w:firstLine="480"/>
        <w:rPr>
          <w:bCs/>
          <w:sz w:val="24"/>
        </w:rPr>
      </w:pPr>
      <w:r>
        <w:rPr>
          <w:rFonts w:hint="eastAsia"/>
          <w:bCs/>
          <w:sz w:val="24"/>
        </w:rPr>
        <w:t>（4）销售基金份额；</w:t>
      </w:r>
    </w:p>
    <w:p>
      <w:pPr>
        <w:pStyle w:val="21"/>
        <w:ind w:firstLine="480"/>
        <w:rPr>
          <w:bCs/>
          <w:sz w:val="24"/>
        </w:rPr>
      </w:pPr>
      <w:r>
        <w:rPr>
          <w:rFonts w:hint="eastAsia"/>
          <w:bCs/>
          <w:sz w:val="24"/>
        </w:rPr>
        <w:t>（5）按照规定召集基金份额持有人大会；</w:t>
      </w:r>
    </w:p>
    <w:p>
      <w:pPr>
        <w:pStyle w:val="21"/>
        <w:ind w:firstLine="480"/>
        <w:rPr>
          <w:bCs/>
          <w:sz w:val="24"/>
        </w:rPr>
      </w:pPr>
      <w:r>
        <w:rPr>
          <w:rFonts w:hint="eastAsia"/>
          <w:bCs/>
          <w:sz w:val="24"/>
        </w:rPr>
        <w:t>（6）依据基金合同及有关法律规定监督基金托管人，如认为基金托管人违反了基金合同及国家有关法律规定，应呈报中国证监会和其他监管部门，并采取必要措施保护基金投资人的利益；</w:t>
      </w:r>
    </w:p>
    <w:p>
      <w:pPr>
        <w:pStyle w:val="21"/>
        <w:ind w:firstLine="480"/>
        <w:rPr>
          <w:bCs/>
          <w:sz w:val="24"/>
        </w:rPr>
      </w:pPr>
      <w:r>
        <w:rPr>
          <w:rFonts w:hint="eastAsia"/>
          <w:bCs/>
          <w:sz w:val="24"/>
        </w:rPr>
        <w:t>（7）在基金托管人更换时，提名新的基金托管人；</w:t>
      </w:r>
    </w:p>
    <w:p>
      <w:pPr>
        <w:pStyle w:val="21"/>
        <w:ind w:firstLine="480"/>
        <w:rPr>
          <w:bCs/>
          <w:sz w:val="24"/>
        </w:rPr>
      </w:pPr>
      <w:r>
        <w:rPr>
          <w:rFonts w:hint="eastAsia"/>
          <w:bCs/>
          <w:sz w:val="24"/>
        </w:rPr>
        <w:t>（8）选择、更换基金销售机构，对基金销售机构的相关行为进行监督和处理；</w:t>
      </w:r>
    </w:p>
    <w:p>
      <w:pPr>
        <w:pStyle w:val="21"/>
        <w:ind w:firstLine="480"/>
        <w:rPr>
          <w:bCs/>
          <w:sz w:val="24"/>
        </w:rPr>
      </w:pPr>
      <w:r>
        <w:rPr>
          <w:rFonts w:hint="eastAsia"/>
          <w:bCs/>
          <w:sz w:val="24"/>
        </w:rPr>
        <w:t>（9）担任或委托其他符合条件的机构担任基金登记机构办理基金登记业务并获得基金合同规定的费用；</w:t>
      </w:r>
    </w:p>
    <w:p>
      <w:pPr>
        <w:pStyle w:val="21"/>
        <w:ind w:firstLine="480"/>
        <w:rPr>
          <w:bCs/>
          <w:sz w:val="24"/>
        </w:rPr>
      </w:pPr>
      <w:r>
        <w:rPr>
          <w:rFonts w:hint="eastAsia"/>
          <w:bCs/>
          <w:sz w:val="24"/>
        </w:rPr>
        <w:t>（10）依据基金合同及有关法律规定决定基金收益的分配方案；</w:t>
      </w:r>
    </w:p>
    <w:p>
      <w:pPr>
        <w:pStyle w:val="21"/>
        <w:ind w:firstLine="480"/>
        <w:rPr>
          <w:bCs/>
          <w:sz w:val="24"/>
        </w:rPr>
      </w:pPr>
      <w:r>
        <w:rPr>
          <w:rFonts w:hint="eastAsia"/>
          <w:bCs/>
          <w:sz w:val="24"/>
        </w:rPr>
        <w:t>（11）在基金合同约定的范围内，拒绝或暂停受理申购、赎回和转换申请；</w:t>
      </w:r>
    </w:p>
    <w:p>
      <w:pPr>
        <w:pStyle w:val="21"/>
        <w:ind w:firstLine="480"/>
        <w:rPr>
          <w:bCs/>
          <w:sz w:val="24"/>
        </w:rPr>
      </w:pPr>
      <w:r>
        <w:rPr>
          <w:rFonts w:hint="eastAsia"/>
          <w:bCs/>
          <w:sz w:val="24"/>
        </w:rPr>
        <w:t>（12）依照法律法规为基金的利益对被投资公司行使股东权利，为基金的利益行使因基金财产投资于证券/期货所产生的权利；</w:t>
      </w:r>
    </w:p>
    <w:p>
      <w:pPr>
        <w:pStyle w:val="21"/>
        <w:ind w:firstLine="480"/>
        <w:rPr>
          <w:bCs/>
          <w:sz w:val="24"/>
        </w:rPr>
      </w:pPr>
      <w:r>
        <w:rPr>
          <w:rFonts w:hint="eastAsia"/>
          <w:bCs/>
          <w:sz w:val="24"/>
        </w:rPr>
        <w:t>（13）在法律法规允许的前提下，为基金的利益依法为基金进行融资及转融通证券出借业务；</w:t>
      </w:r>
    </w:p>
    <w:p>
      <w:pPr>
        <w:pStyle w:val="21"/>
        <w:ind w:firstLine="480"/>
        <w:rPr>
          <w:bCs/>
          <w:sz w:val="24"/>
        </w:rPr>
      </w:pPr>
      <w:r>
        <w:rPr>
          <w:rFonts w:hint="eastAsia"/>
          <w:bCs/>
          <w:sz w:val="24"/>
        </w:rPr>
        <w:t>（14）以基金管理人的名义，代表基金份额持有人的利益行使诉讼权利或者实施其他法律行为；</w:t>
      </w:r>
    </w:p>
    <w:p>
      <w:pPr>
        <w:pStyle w:val="21"/>
        <w:ind w:firstLine="480"/>
        <w:rPr>
          <w:bCs/>
          <w:sz w:val="24"/>
        </w:rPr>
      </w:pPr>
      <w:r>
        <w:rPr>
          <w:rFonts w:hint="eastAsia"/>
          <w:bCs/>
          <w:sz w:val="24"/>
        </w:rPr>
        <w:t>（15）选择、更换律师事务所、会计师事务所、证券、期货经纪商或其他为基金提供服务的外部机构；</w:t>
      </w:r>
    </w:p>
    <w:p>
      <w:pPr>
        <w:pStyle w:val="21"/>
        <w:ind w:firstLine="480"/>
        <w:rPr>
          <w:bCs/>
          <w:sz w:val="24"/>
        </w:rPr>
      </w:pPr>
      <w:r>
        <w:rPr>
          <w:rFonts w:hint="eastAsia"/>
          <w:bCs/>
          <w:sz w:val="24"/>
        </w:rPr>
        <w:t>（16）在符合有关法律、法规的前提下，制订和调整有关基金认购、申购、赎回、转换、非交易过户、转托管等业务规则；</w:t>
      </w:r>
    </w:p>
    <w:p>
      <w:pPr>
        <w:pStyle w:val="21"/>
        <w:ind w:firstLine="480"/>
        <w:rPr>
          <w:bCs/>
          <w:sz w:val="24"/>
        </w:rPr>
      </w:pPr>
      <w:r>
        <w:rPr>
          <w:rFonts w:hint="eastAsia"/>
          <w:bCs/>
          <w:sz w:val="24"/>
        </w:rPr>
        <w:t>（17）基金管理人有权根据反洗钱法律法规的相关规定，结合基金份额持有人洗钱风险状况，采取相应合理的控制措施；</w:t>
      </w:r>
    </w:p>
    <w:p>
      <w:pPr>
        <w:pStyle w:val="21"/>
        <w:ind w:firstLine="480"/>
        <w:rPr>
          <w:bCs/>
          <w:sz w:val="24"/>
        </w:rPr>
      </w:pPr>
      <w:r>
        <w:rPr>
          <w:rFonts w:hint="eastAsia"/>
          <w:bCs/>
          <w:sz w:val="24"/>
        </w:rPr>
        <w:t>（18）在法律法规和基金合同规定的范围内决定调整基金费率结构和收费方式；</w:t>
      </w:r>
    </w:p>
    <w:p>
      <w:pPr>
        <w:pStyle w:val="21"/>
        <w:ind w:firstLine="480"/>
        <w:rPr>
          <w:bCs/>
          <w:sz w:val="24"/>
        </w:rPr>
      </w:pPr>
      <w:r>
        <w:rPr>
          <w:rFonts w:hint="eastAsia"/>
          <w:bCs/>
          <w:sz w:val="24"/>
        </w:rPr>
        <w:t>（19）代表基金份额持有人的利益行使因基金财产投资于目标ETF所产生的权利，基金合同另有约定的除外；</w:t>
      </w:r>
    </w:p>
    <w:p>
      <w:pPr>
        <w:pStyle w:val="21"/>
        <w:adjustRightInd w:val="0"/>
        <w:snapToGrid w:val="0"/>
        <w:ind w:firstLine="480"/>
        <w:rPr>
          <w:bCs/>
          <w:sz w:val="24"/>
        </w:rPr>
      </w:pPr>
      <w:r>
        <w:rPr>
          <w:rFonts w:hint="eastAsia"/>
          <w:bCs/>
          <w:sz w:val="24"/>
        </w:rPr>
        <w:t>（20）法律法规及中国证监会规定的和基金合同约定的其他权利。</w:t>
      </w:r>
    </w:p>
    <w:p>
      <w:pPr>
        <w:pStyle w:val="21"/>
        <w:adjustRightInd w:val="0"/>
        <w:snapToGrid w:val="0"/>
        <w:ind w:firstLine="480"/>
        <w:rPr>
          <w:rFonts w:cs="宋体"/>
          <w:sz w:val="24"/>
          <w:szCs w:val="24"/>
        </w:rPr>
      </w:pPr>
      <w:r>
        <w:rPr>
          <w:rFonts w:hint="eastAsia" w:cs="宋体"/>
          <w:sz w:val="24"/>
          <w:szCs w:val="24"/>
        </w:rPr>
        <w:t>2、根据《基金法》、《运作办法》及其他有关规定，基金管理人的义务包括但不限于：</w:t>
      </w:r>
    </w:p>
    <w:p>
      <w:pPr>
        <w:pStyle w:val="21"/>
        <w:adjustRightInd w:val="0"/>
        <w:snapToGrid w:val="0"/>
        <w:ind w:firstLine="480"/>
        <w:rPr>
          <w:bCs/>
          <w:sz w:val="24"/>
          <w:szCs w:val="24"/>
        </w:rPr>
      </w:pPr>
      <w:r>
        <w:rPr>
          <w:rFonts w:hint="eastAsia"/>
          <w:bCs/>
          <w:sz w:val="24"/>
          <w:szCs w:val="24"/>
        </w:rPr>
        <w:t>（1）依法募集资金，办理或者委托经中国证监会认定的其他机构代为办理基金份额的发售、申购、赎回和登记事宜；</w:t>
      </w:r>
    </w:p>
    <w:p>
      <w:pPr>
        <w:pStyle w:val="21"/>
        <w:adjustRightInd w:val="0"/>
        <w:snapToGrid w:val="0"/>
        <w:ind w:firstLine="480"/>
        <w:rPr>
          <w:bCs/>
          <w:sz w:val="24"/>
          <w:szCs w:val="24"/>
        </w:rPr>
      </w:pPr>
      <w:r>
        <w:rPr>
          <w:rFonts w:hint="eastAsia"/>
          <w:bCs/>
          <w:sz w:val="24"/>
          <w:szCs w:val="24"/>
        </w:rPr>
        <w:t>（2）办理基金备案手续；</w:t>
      </w:r>
    </w:p>
    <w:p>
      <w:pPr>
        <w:pStyle w:val="21"/>
        <w:adjustRightInd w:val="0"/>
        <w:snapToGrid w:val="0"/>
        <w:ind w:firstLine="480"/>
        <w:rPr>
          <w:bCs/>
          <w:sz w:val="24"/>
          <w:szCs w:val="24"/>
        </w:rPr>
      </w:pPr>
      <w:r>
        <w:rPr>
          <w:rFonts w:hint="eastAsia"/>
          <w:bCs/>
          <w:sz w:val="24"/>
          <w:szCs w:val="24"/>
        </w:rPr>
        <w:t>（3）自基金合同生效之日起，以诚实信用、谨慎勤勉的原则管理和运用基金财产；</w:t>
      </w:r>
    </w:p>
    <w:p>
      <w:pPr>
        <w:pStyle w:val="21"/>
        <w:adjustRightInd w:val="0"/>
        <w:snapToGrid w:val="0"/>
        <w:ind w:firstLine="480"/>
        <w:rPr>
          <w:bCs/>
          <w:sz w:val="24"/>
          <w:szCs w:val="24"/>
        </w:rPr>
      </w:pPr>
      <w:r>
        <w:rPr>
          <w:rFonts w:hint="eastAsia"/>
          <w:bCs/>
          <w:sz w:val="24"/>
          <w:szCs w:val="24"/>
        </w:rPr>
        <w:t>（4）配备足够的具有专业资格的人员进行基金投资分析、决策，以专业化的经营方式管理和运作基金财产；</w:t>
      </w:r>
    </w:p>
    <w:p>
      <w:pPr>
        <w:pStyle w:val="21"/>
        <w:adjustRightInd w:val="0"/>
        <w:snapToGrid w:val="0"/>
        <w:ind w:firstLine="480"/>
        <w:rPr>
          <w:bCs/>
          <w:sz w:val="24"/>
          <w:szCs w:val="24"/>
        </w:rPr>
      </w:pPr>
      <w:r>
        <w:rPr>
          <w:rFonts w:hint="eastAsia"/>
          <w:bCs/>
          <w:sz w:val="24"/>
          <w:szCs w:val="24"/>
        </w:rPr>
        <w:t>（5）建立健全内部风险控制、监察与稽核、财务管理及人事管理等制度，保证所管理的基金财产和基金管理人的财产相互独立，对所管理的不同基金分别管理，分别记账，进行证券/期货投资；</w:t>
      </w:r>
    </w:p>
    <w:p>
      <w:pPr>
        <w:pStyle w:val="21"/>
        <w:adjustRightInd w:val="0"/>
        <w:snapToGrid w:val="0"/>
        <w:ind w:firstLine="480"/>
        <w:rPr>
          <w:bCs/>
          <w:sz w:val="24"/>
          <w:szCs w:val="24"/>
        </w:rPr>
      </w:pPr>
      <w:r>
        <w:rPr>
          <w:rFonts w:hint="eastAsia"/>
          <w:bCs/>
          <w:sz w:val="24"/>
          <w:szCs w:val="24"/>
        </w:rPr>
        <w:t>（6）除依据《基金法》、基金合同及其他有关规定外，不得利用基金财产为自己及任何第三人谋取利益，不得委托第三人运作基金财产；</w:t>
      </w:r>
    </w:p>
    <w:p>
      <w:pPr>
        <w:pStyle w:val="21"/>
        <w:adjustRightInd w:val="0"/>
        <w:snapToGrid w:val="0"/>
        <w:ind w:firstLine="480"/>
        <w:rPr>
          <w:bCs/>
          <w:sz w:val="24"/>
          <w:szCs w:val="24"/>
        </w:rPr>
      </w:pPr>
      <w:r>
        <w:rPr>
          <w:rFonts w:hint="eastAsia"/>
          <w:bCs/>
          <w:sz w:val="24"/>
          <w:szCs w:val="24"/>
        </w:rPr>
        <w:t>（7）依法接受基金托管人的监督；</w:t>
      </w:r>
    </w:p>
    <w:p>
      <w:pPr>
        <w:pStyle w:val="21"/>
        <w:adjustRightInd w:val="0"/>
        <w:snapToGrid w:val="0"/>
        <w:ind w:firstLine="480"/>
        <w:rPr>
          <w:bCs/>
          <w:sz w:val="24"/>
          <w:szCs w:val="24"/>
        </w:rPr>
      </w:pPr>
      <w:r>
        <w:rPr>
          <w:rFonts w:hint="eastAsia"/>
          <w:bCs/>
          <w:sz w:val="24"/>
          <w:szCs w:val="24"/>
        </w:rPr>
        <w:t>（8）采取适当合理的措施使计算基金份额认购、申购、赎回和注销价格的方法符合《基金合同》等法律文件的规定，按有关规定计算并公告基金净值信息，确定各类基金份额申购、赎回的价格；</w:t>
      </w:r>
    </w:p>
    <w:p>
      <w:pPr>
        <w:pStyle w:val="21"/>
        <w:adjustRightInd w:val="0"/>
        <w:snapToGrid w:val="0"/>
        <w:ind w:firstLine="480"/>
        <w:rPr>
          <w:bCs/>
          <w:sz w:val="24"/>
          <w:szCs w:val="24"/>
        </w:rPr>
      </w:pPr>
      <w:r>
        <w:rPr>
          <w:rFonts w:hint="eastAsia"/>
          <w:bCs/>
          <w:sz w:val="24"/>
          <w:szCs w:val="24"/>
        </w:rPr>
        <w:t>（9）进行基金会计核算并编制基金财务会计报告；</w:t>
      </w:r>
    </w:p>
    <w:p>
      <w:pPr>
        <w:pStyle w:val="21"/>
        <w:adjustRightInd w:val="0"/>
        <w:snapToGrid w:val="0"/>
        <w:ind w:firstLine="480"/>
        <w:rPr>
          <w:bCs/>
          <w:sz w:val="24"/>
          <w:szCs w:val="24"/>
        </w:rPr>
      </w:pPr>
      <w:r>
        <w:rPr>
          <w:rFonts w:hint="eastAsia"/>
          <w:bCs/>
          <w:sz w:val="24"/>
          <w:szCs w:val="24"/>
        </w:rPr>
        <w:t>（10）编制季度报告、中期报告和年度报告；</w:t>
      </w:r>
    </w:p>
    <w:p>
      <w:pPr>
        <w:pStyle w:val="21"/>
        <w:adjustRightInd w:val="0"/>
        <w:snapToGrid w:val="0"/>
        <w:ind w:firstLine="480"/>
        <w:rPr>
          <w:bCs/>
          <w:sz w:val="24"/>
          <w:szCs w:val="24"/>
        </w:rPr>
      </w:pPr>
      <w:r>
        <w:rPr>
          <w:rFonts w:hint="eastAsia"/>
          <w:bCs/>
          <w:sz w:val="24"/>
          <w:szCs w:val="24"/>
        </w:rPr>
        <w:t>（11）严格按照《基金法》、基金合同及其他有关规定，履行信息披露及报告义务；</w:t>
      </w:r>
    </w:p>
    <w:p>
      <w:pPr>
        <w:pStyle w:val="21"/>
        <w:adjustRightInd w:val="0"/>
        <w:snapToGrid w:val="0"/>
        <w:ind w:firstLine="480"/>
        <w:rPr>
          <w:bCs/>
          <w:sz w:val="24"/>
          <w:szCs w:val="24"/>
        </w:rPr>
      </w:pPr>
      <w:r>
        <w:rPr>
          <w:rFonts w:hint="eastAsia"/>
          <w:bCs/>
          <w:sz w:val="24"/>
          <w:szCs w:val="24"/>
        </w:rPr>
        <w:t>（12）保守基金商业秘密，不泄露基金投资计划、投资意向等。除《基金法》、基金合同及其他有关法律法规或监管机构另有规定或要求外，在基金信息公开披露前应予保密，不向他人泄露，但向监管机构、司法机关提供或因审计、法律等外部专业顾问提供服务而向其提供的情况除外；</w:t>
      </w:r>
    </w:p>
    <w:p>
      <w:pPr>
        <w:pStyle w:val="21"/>
        <w:adjustRightInd w:val="0"/>
        <w:snapToGrid w:val="0"/>
        <w:ind w:firstLine="480"/>
        <w:rPr>
          <w:bCs/>
          <w:sz w:val="24"/>
          <w:szCs w:val="24"/>
        </w:rPr>
      </w:pPr>
      <w:r>
        <w:rPr>
          <w:rFonts w:hint="eastAsia"/>
          <w:bCs/>
          <w:sz w:val="24"/>
          <w:szCs w:val="24"/>
        </w:rPr>
        <w:t>（13）按基金合同的约定确定基金收益分配方案，及时向基金份额持有人分配基金收益；</w:t>
      </w:r>
    </w:p>
    <w:p>
      <w:pPr>
        <w:pStyle w:val="21"/>
        <w:adjustRightInd w:val="0"/>
        <w:snapToGrid w:val="0"/>
        <w:ind w:firstLine="480"/>
        <w:rPr>
          <w:bCs/>
          <w:sz w:val="24"/>
          <w:szCs w:val="24"/>
        </w:rPr>
      </w:pPr>
      <w:r>
        <w:rPr>
          <w:rFonts w:hint="eastAsia"/>
          <w:bCs/>
          <w:sz w:val="24"/>
          <w:szCs w:val="24"/>
        </w:rPr>
        <w:t>（14）按规定受理申购与赎回申请，及时、足额支付赎回款项；</w:t>
      </w:r>
    </w:p>
    <w:p>
      <w:pPr>
        <w:pStyle w:val="21"/>
        <w:adjustRightInd w:val="0"/>
        <w:snapToGrid w:val="0"/>
        <w:ind w:firstLine="480"/>
        <w:rPr>
          <w:bCs/>
          <w:sz w:val="24"/>
          <w:szCs w:val="24"/>
        </w:rPr>
      </w:pPr>
      <w:r>
        <w:rPr>
          <w:rFonts w:hint="eastAsia"/>
          <w:bCs/>
          <w:sz w:val="24"/>
          <w:szCs w:val="24"/>
        </w:rPr>
        <w:t>（15）依据《基金法》、基金合同及其他有关规定召集基金份额持有人大会或配合基金托管人、基金份额持有人依法召集基金份额持有人大会；</w:t>
      </w:r>
    </w:p>
    <w:p>
      <w:pPr>
        <w:pStyle w:val="21"/>
        <w:adjustRightInd w:val="0"/>
        <w:snapToGrid w:val="0"/>
        <w:ind w:firstLine="480"/>
        <w:rPr>
          <w:bCs/>
          <w:sz w:val="24"/>
          <w:szCs w:val="24"/>
        </w:rPr>
      </w:pPr>
      <w:r>
        <w:rPr>
          <w:rFonts w:hint="eastAsia"/>
          <w:bCs/>
          <w:sz w:val="24"/>
          <w:szCs w:val="24"/>
        </w:rPr>
        <w:t>（16）按规定保存基金财产管理业务活动的会计账册、报表、记录和其他相关资料，保存期限不低于法律法规的规定；</w:t>
      </w:r>
    </w:p>
    <w:p>
      <w:pPr>
        <w:pStyle w:val="21"/>
        <w:adjustRightInd w:val="0"/>
        <w:snapToGrid w:val="0"/>
        <w:ind w:firstLine="480"/>
        <w:rPr>
          <w:bCs/>
          <w:sz w:val="24"/>
          <w:szCs w:val="24"/>
        </w:rPr>
      </w:pPr>
      <w:r>
        <w:rPr>
          <w:rFonts w:hint="eastAsia"/>
          <w:bCs/>
          <w:sz w:val="24"/>
          <w:szCs w:val="24"/>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pPr>
        <w:pStyle w:val="21"/>
        <w:adjustRightInd w:val="0"/>
        <w:snapToGrid w:val="0"/>
        <w:ind w:firstLine="480"/>
        <w:rPr>
          <w:bCs/>
          <w:sz w:val="24"/>
          <w:szCs w:val="24"/>
        </w:rPr>
      </w:pPr>
      <w:r>
        <w:rPr>
          <w:rFonts w:hint="eastAsia"/>
          <w:bCs/>
          <w:sz w:val="24"/>
          <w:szCs w:val="24"/>
        </w:rPr>
        <w:t>（18）组织并参加基金财产清算小组，参与基金财产的保管、清理、估价、变现和分配；</w:t>
      </w:r>
    </w:p>
    <w:p>
      <w:pPr>
        <w:pStyle w:val="21"/>
        <w:adjustRightInd w:val="0"/>
        <w:snapToGrid w:val="0"/>
        <w:ind w:firstLine="480"/>
        <w:rPr>
          <w:bCs/>
          <w:sz w:val="24"/>
          <w:szCs w:val="24"/>
        </w:rPr>
      </w:pPr>
      <w:r>
        <w:rPr>
          <w:rFonts w:hint="eastAsia"/>
          <w:bCs/>
          <w:sz w:val="24"/>
          <w:szCs w:val="24"/>
        </w:rPr>
        <w:t>（19）面临解散、依法被撤销或者被依法宣告破产时，及时报告中国证监会并通知基金托管人；</w:t>
      </w:r>
    </w:p>
    <w:p>
      <w:pPr>
        <w:pStyle w:val="21"/>
        <w:adjustRightInd w:val="0"/>
        <w:snapToGrid w:val="0"/>
        <w:ind w:firstLine="480"/>
        <w:rPr>
          <w:bCs/>
          <w:sz w:val="24"/>
          <w:szCs w:val="24"/>
        </w:rPr>
      </w:pPr>
      <w:r>
        <w:rPr>
          <w:rFonts w:hint="eastAsia"/>
          <w:bCs/>
          <w:sz w:val="24"/>
          <w:szCs w:val="24"/>
        </w:rPr>
        <w:t>（20）因违反基金合同导致基金财产的损失或损害基金份额持有人合法权益时，应当承担赔偿责任，其赔偿责任不因其退任而免除；</w:t>
      </w:r>
    </w:p>
    <w:p>
      <w:pPr>
        <w:pStyle w:val="21"/>
        <w:adjustRightInd w:val="0"/>
        <w:snapToGrid w:val="0"/>
        <w:ind w:firstLine="480"/>
        <w:rPr>
          <w:bCs/>
          <w:sz w:val="24"/>
          <w:szCs w:val="24"/>
        </w:rPr>
      </w:pPr>
      <w:r>
        <w:rPr>
          <w:rFonts w:hint="eastAsia"/>
          <w:bCs/>
          <w:sz w:val="24"/>
          <w:szCs w:val="24"/>
        </w:rPr>
        <w:t>（21）监督基金托管人按法律法规和基金合同规定履行自己的义务，基金托管人违反基金合同造成基金财产损失时，基金管理人应为基金份额持有人利益向基金托管人追偿；</w:t>
      </w:r>
    </w:p>
    <w:p>
      <w:pPr>
        <w:pStyle w:val="21"/>
        <w:adjustRightInd w:val="0"/>
        <w:snapToGrid w:val="0"/>
        <w:ind w:firstLine="480"/>
        <w:rPr>
          <w:bCs/>
          <w:sz w:val="24"/>
          <w:szCs w:val="24"/>
        </w:rPr>
      </w:pPr>
      <w:r>
        <w:rPr>
          <w:rFonts w:hint="eastAsia"/>
          <w:bCs/>
          <w:sz w:val="24"/>
          <w:szCs w:val="24"/>
        </w:rPr>
        <w:t>（22）当基金管理人将其义务委托第三方处理时，应当对第三方处理有关基金事务的行为承担责任；</w:t>
      </w:r>
    </w:p>
    <w:p>
      <w:pPr>
        <w:pStyle w:val="21"/>
        <w:adjustRightInd w:val="0"/>
        <w:snapToGrid w:val="0"/>
        <w:ind w:firstLine="480"/>
        <w:rPr>
          <w:bCs/>
          <w:sz w:val="24"/>
          <w:szCs w:val="24"/>
        </w:rPr>
      </w:pPr>
      <w:r>
        <w:rPr>
          <w:rFonts w:hint="eastAsia"/>
          <w:bCs/>
          <w:sz w:val="24"/>
          <w:szCs w:val="24"/>
        </w:rPr>
        <w:t>（23）以基金管理人名义，代表基金份额持有人利益行使诉讼权利或实施其他法律行为；</w:t>
      </w:r>
    </w:p>
    <w:p>
      <w:pPr>
        <w:pStyle w:val="21"/>
        <w:adjustRightInd w:val="0"/>
        <w:snapToGrid w:val="0"/>
        <w:ind w:firstLine="480"/>
        <w:rPr>
          <w:bCs/>
          <w:sz w:val="24"/>
          <w:szCs w:val="24"/>
        </w:rPr>
      </w:pPr>
      <w:r>
        <w:rPr>
          <w:rFonts w:hint="eastAsia"/>
          <w:bCs/>
          <w:sz w:val="24"/>
          <w:szCs w:val="24"/>
        </w:rPr>
        <w:t>（24）基金管理人在募集期间未能达到基金的备案条件，基金合同不能生效，基金管理人承担全部募集费用，将已募集资金并加计银行同期活期存款利息（税后）在基金募集期结束后30日内退还基金认购人；</w:t>
      </w:r>
    </w:p>
    <w:p>
      <w:pPr>
        <w:pStyle w:val="21"/>
        <w:adjustRightInd w:val="0"/>
        <w:snapToGrid w:val="0"/>
        <w:ind w:firstLine="480"/>
        <w:rPr>
          <w:bCs/>
          <w:sz w:val="24"/>
          <w:szCs w:val="24"/>
        </w:rPr>
      </w:pPr>
      <w:r>
        <w:rPr>
          <w:rFonts w:hint="eastAsia"/>
          <w:bCs/>
          <w:sz w:val="24"/>
          <w:szCs w:val="24"/>
        </w:rPr>
        <w:t>（25）执行生效的基金份额持有人大会的决议；</w:t>
      </w:r>
    </w:p>
    <w:p>
      <w:pPr>
        <w:pStyle w:val="21"/>
        <w:adjustRightInd w:val="0"/>
        <w:snapToGrid w:val="0"/>
        <w:ind w:firstLine="480"/>
        <w:rPr>
          <w:bCs/>
          <w:sz w:val="24"/>
          <w:szCs w:val="24"/>
        </w:rPr>
      </w:pPr>
      <w:r>
        <w:rPr>
          <w:rFonts w:hint="eastAsia"/>
          <w:bCs/>
          <w:sz w:val="24"/>
          <w:szCs w:val="24"/>
        </w:rPr>
        <w:t>（26）建立并保存基金份额持有人名册；</w:t>
      </w:r>
    </w:p>
    <w:p>
      <w:pPr>
        <w:adjustRightInd w:val="0"/>
        <w:snapToGrid w:val="0"/>
        <w:spacing w:line="360" w:lineRule="auto"/>
        <w:ind w:firstLine="480" w:firstLineChars="200"/>
        <w:rPr>
          <w:rFonts w:ascii="宋体" w:hAnsi="宋体"/>
          <w:bCs/>
          <w:sz w:val="24"/>
        </w:rPr>
      </w:pPr>
      <w:r>
        <w:rPr>
          <w:rFonts w:hint="eastAsia"/>
          <w:bCs/>
          <w:sz w:val="24"/>
        </w:rPr>
        <w:t>（</w:t>
      </w:r>
      <w:r>
        <w:rPr>
          <w:rFonts w:ascii="宋体" w:hAnsi="宋体"/>
          <w:bCs/>
          <w:sz w:val="24"/>
        </w:rPr>
        <w:t>27</w:t>
      </w:r>
      <w:r>
        <w:rPr>
          <w:rFonts w:hint="eastAsia"/>
          <w:bCs/>
          <w:sz w:val="24"/>
        </w:rPr>
        <w:t>）法律法规及中国证监会规定的和《基金合同》约定的其他义务。</w:t>
      </w:r>
    </w:p>
    <w:bookmarkEnd w:id="19"/>
    <w:p>
      <w:pPr>
        <w:pStyle w:val="21"/>
        <w:adjustRightInd w:val="0"/>
        <w:snapToGrid w:val="0"/>
        <w:ind w:firstLine="480"/>
        <w:rPr>
          <w:rFonts w:cs="宋体"/>
          <w:sz w:val="24"/>
          <w:szCs w:val="24"/>
        </w:rPr>
      </w:pPr>
      <w:r>
        <w:rPr>
          <w:rFonts w:hint="eastAsia" w:cs="宋体"/>
          <w:sz w:val="24"/>
          <w:szCs w:val="24"/>
        </w:rPr>
        <w:t>四、基金管理人承诺</w:t>
      </w:r>
    </w:p>
    <w:p>
      <w:pPr>
        <w:pStyle w:val="21"/>
        <w:adjustRightInd w:val="0"/>
        <w:snapToGrid w:val="0"/>
        <w:ind w:firstLine="480"/>
        <w:rPr>
          <w:rFonts w:cs="宋体"/>
          <w:sz w:val="24"/>
          <w:szCs w:val="24"/>
        </w:rPr>
      </w:pPr>
      <w:r>
        <w:rPr>
          <w:rFonts w:hint="eastAsia" w:cs="宋体"/>
          <w:sz w:val="24"/>
          <w:szCs w:val="24"/>
        </w:rPr>
        <w:t>1、本基金管理人将根据基金合同的规定，按照招募说明书列明的投资目标、策略及限制全权处理本基金的投资。</w:t>
      </w:r>
    </w:p>
    <w:p>
      <w:pPr>
        <w:pStyle w:val="21"/>
        <w:adjustRightInd w:val="0"/>
        <w:snapToGrid w:val="0"/>
        <w:ind w:firstLine="480"/>
        <w:rPr>
          <w:rFonts w:cs="宋体"/>
          <w:sz w:val="24"/>
          <w:szCs w:val="24"/>
        </w:rPr>
      </w:pPr>
      <w:r>
        <w:rPr>
          <w:rFonts w:hint="eastAsia" w:cs="宋体"/>
          <w:sz w:val="24"/>
          <w:szCs w:val="24"/>
        </w:rPr>
        <w:t>2、本基金管理人不从事违反《中华人民共和国证券法》的行为，并建立健全内部控制制度，采取有效措施，防止违反《中华人民共和国证券法》行为的发生。</w:t>
      </w:r>
    </w:p>
    <w:p>
      <w:pPr>
        <w:pStyle w:val="21"/>
        <w:adjustRightInd w:val="0"/>
        <w:snapToGrid w:val="0"/>
        <w:ind w:firstLine="480"/>
        <w:rPr>
          <w:rFonts w:cs="宋体"/>
          <w:sz w:val="24"/>
          <w:szCs w:val="24"/>
        </w:rPr>
      </w:pPr>
      <w:r>
        <w:rPr>
          <w:rFonts w:hint="eastAsia" w:cs="宋体"/>
          <w:sz w:val="24"/>
          <w:szCs w:val="24"/>
        </w:rPr>
        <w:t>3、本基金管理人不从事违反《基金法》的行为，并建立健全内部控制制度，采取有效措施，防止下列行为的发生：</w:t>
      </w:r>
    </w:p>
    <w:p>
      <w:pPr>
        <w:pStyle w:val="21"/>
        <w:adjustRightInd w:val="0"/>
        <w:snapToGrid w:val="0"/>
        <w:ind w:firstLine="480"/>
        <w:rPr>
          <w:rFonts w:cs="宋体"/>
          <w:sz w:val="24"/>
          <w:szCs w:val="24"/>
        </w:rPr>
      </w:pPr>
      <w:r>
        <w:rPr>
          <w:rFonts w:hint="eastAsia" w:cs="宋体"/>
          <w:sz w:val="24"/>
          <w:szCs w:val="24"/>
        </w:rPr>
        <w:t>（1）以基金的名义使用不属于基金名下的资金买卖证券；</w:t>
      </w:r>
    </w:p>
    <w:p>
      <w:pPr>
        <w:pStyle w:val="21"/>
        <w:adjustRightInd w:val="0"/>
        <w:snapToGrid w:val="0"/>
        <w:ind w:firstLine="480"/>
        <w:rPr>
          <w:rFonts w:cs="宋体"/>
          <w:sz w:val="24"/>
          <w:szCs w:val="24"/>
        </w:rPr>
      </w:pPr>
      <w:r>
        <w:rPr>
          <w:rFonts w:hint="eastAsia" w:cs="宋体"/>
          <w:sz w:val="24"/>
          <w:szCs w:val="24"/>
        </w:rPr>
        <w:t>（2）动用银行信贷资金从事证券买卖；</w:t>
      </w:r>
    </w:p>
    <w:p>
      <w:pPr>
        <w:pStyle w:val="21"/>
        <w:adjustRightInd w:val="0"/>
        <w:snapToGrid w:val="0"/>
        <w:ind w:firstLine="480"/>
        <w:rPr>
          <w:rFonts w:cs="宋体"/>
          <w:sz w:val="24"/>
          <w:szCs w:val="24"/>
        </w:rPr>
      </w:pPr>
      <w:r>
        <w:rPr>
          <w:rFonts w:hint="eastAsia" w:cs="宋体"/>
          <w:sz w:val="24"/>
          <w:szCs w:val="24"/>
        </w:rPr>
        <w:t>（3）违反规定将基金资产向他人贷款或者提供担保；</w:t>
      </w:r>
    </w:p>
    <w:p>
      <w:pPr>
        <w:pStyle w:val="21"/>
        <w:adjustRightInd w:val="0"/>
        <w:snapToGrid w:val="0"/>
        <w:ind w:firstLine="480"/>
        <w:rPr>
          <w:rFonts w:cs="宋体"/>
          <w:sz w:val="24"/>
          <w:szCs w:val="24"/>
        </w:rPr>
      </w:pPr>
      <w:r>
        <w:rPr>
          <w:rFonts w:hint="eastAsia" w:cs="宋体"/>
          <w:sz w:val="24"/>
          <w:szCs w:val="24"/>
        </w:rPr>
        <w:t>（4）从事证券信用交易（法律法规、基金合同和中国证监会另有规定的除外）；</w:t>
      </w:r>
    </w:p>
    <w:p>
      <w:pPr>
        <w:pStyle w:val="21"/>
        <w:adjustRightInd w:val="0"/>
        <w:snapToGrid w:val="0"/>
        <w:ind w:firstLine="480"/>
        <w:rPr>
          <w:rFonts w:cs="宋体"/>
          <w:sz w:val="24"/>
          <w:szCs w:val="24"/>
        </w:rPr>
      </w:pPr>
      <w:r>
        <w:rPr>
          <w:rFonts w:hint="eastAsia" w:cs="宋体"/>
          <w:sz w:val="24"/>
          <w:szCs w:val="24"/>
        </w:rPr>
        <w:t>（5）以基金资产进行房地产投资；</w:t>
      </w:r>
    </w:p>
    <w:p>
      <w:pPr>
        <w:pStyle w:val="21"/>
        <w:adjustRightInd w:val="0"/>
        <w:snapToGrid w:val="0"/>
        <w:ind w:firstLine="480"/>
        <w:rPr>
          <w:rFonts w:cs="宋体"/>
          <w:sz w:val="24"/>
          <w:szCs w:val="24"/>
        </w:rPr>
      </w:pPr>
      <w:r>
        <w:rPr>
          <w:rFonts w:hint="eastAsia" w:cs="宋体"/>
          <w:sz w:val="24"/>
          <w:szCs w:val="24"/>
        </w:rPr>
        <w:t>（6）从事有可能使基金承担无限责任的投资；</w:t>
      </w:r>
    </w:p>
    <w:p>
      <w:pPr>
        <w:pStyle w:val="21"/>
        <w:adjustRightInd w:val="0"/>
        <w:snapToGrid w:val="0"/>
        <w:ind w:firstLine="480"/>
        <w:rPr>
          <w:rFonts w:cs="宋体"/>
          <w:sz w:val="24"/>
          <w:szCs w:val="24"/>
        </w:rPr>
      </w:pPr>
      <w:r>
        <w:rPr>
          <w:rFonts w:hint="eastAsia" w:cs="宋体"/>
          <w:sz w:val="24"/>
          <w:szCs w:val="24"/>
        </w:rPr>
        <w:t>（7）从事证券承销行为；</w:t>
      </w:r>
    </w:p>
    <w:p>
      <w:pPr>
        <w:pStyle w:val="21"/>
        <w:adjustRightInd w:val="0"/>
        <w:snapToGrid w:val="0"/>
        <w:ind w:firstLine="480"/>
        <w:rPr>
          <w:rFonts w:cs="宋体"/>
          <w:sz w:val="24"/>
          <w:szCs w:val="24"/>
        </w:rPr>
      </w:pPr>
      <w:r>
        <w:rPr>
          <w:rFonts w:hint="eastAsia" w:cs="宋体"/>
          <w:sz w:val="24"/>
          <w:szCs w:val="24"/>
        </w:rPr>
        <w:t>（8）违反证券交易业务规则，利用对敲、倒仓等行为来操纵和扰乱市场价格；</w:t>
      </w:r>
    </w:p>
    <w:p>
      <w:pPr>
        <w:pStyle w:val="21"/>
        <w:adjustRightInd w:val="0"/>
        <w:snapToGrid w:val="0"/>
        <w:ind w:firstLine="480"/>
        <w:rPr>
          <w:rFonts w:cs="宋体"/>
          <w:sz w:val="24"/>
          <w:szCs w:val="24"/>
        </w:rPr>
      </w:pPr>
      <w:r>
        <w:rPr>
          <w:rFonts w:hint="eastAsia" w:cs="宋体"/>
          <w:sz w:val="24"/>
          <w:szCs w:val="24"/>
        </w:rPr>
        <w:t>（9）进行高位接盘、利益输送等损害基金份额持有人利益的行为；</w:t>
      </w:r>
    </w:p>
    <w:p>
      <w:pPr>
        <w:pStyle w:val="21"/>
        <w:adjustRightInd w:val="0"/>
        <w:snapToGrid w:val="0"/>
        <w:ind w:firstLine="480"/>
        <w:rPr>
          <w:rFonts w:cs="宋体"/>
          <w:sz w:val="24"/>
          <w:szCs w:val="24"/>
        </w:rPr>
      </w:pPr>
      <w:r>
        <w:rPr>
          <w:rFonts w:hint="eastAsia" w:cs="宋体"/>
          <w:sz w:val="24"/>
          <w:szCs w:val="24"/>
        </w:rPr>
        <w:t>（10）通过股票投资取得对上市公司的控制权；</w:t>
      </w:r>
    </w:p>
    <w:p>
      <w:pPr>
        <w:pStyle w:val="21"/>
        <w:adjustRightInd w:val="0"/>
        <w:snapToGrid w:val="0"/>
        <w:ind w:firstLine="480"/>
        <w:rPr>
          <w:rFonts w:cs="宋体"/>
          <w:sz w:val="24"/>
          <w:szCs w:val="24"/>
        </w:rPr>
      </w:pPr>
      <w:r>
        <w:rPr>
          <w:rFonts w:hint="eastAsia" w:cs="宋体"/>
          <w:sz w:val="24"/>
          <w:szCs w:val="24"/>
        </w:rPr>
        <w:t>（11）法律、法规及监管机关规定禁止从事的其他行为。</w:t>
      </w:r>
    </w:p>
    <w:p>
      <w:pPr>
        <w:pStyle w:val="21"/>
        <w:adjustRightInd w:val="0"/>
        <w:snapToGrid w:val="0"/>
        <w:ind w:firstLine="480"/>
        <w:rPr>
          <w:rFonts w:cs="宋体"/>
          <w:sz w:val="24"/>
          <w:szCs w:val="24"/>
        </w:rPr>
      </w:pPr>
      <w:r>
        <w:rPr>
          <w:rFonts w:hint="eastAsia" w:cs="宋体"/>
          <w:sz w:val="24"/>
          <w:szCs w:val="24"/>
        </w:rPr>
        <w:t>4、本基金管理人将加强人员管理，强化职业操守，督促和约束员工遵守国家有关法律、法规及行业规范，诚实信用、勤勉尽责，不从事以下行为：</w:t>
      </w:r>
    </w:p>
    <w:p>
      <w:pPr>
        <w:pStyle w:val="21"/>
        <w:adjustRightInd w:val="0"/>
        <w:snapToGrid w:val="0"/>
        <w:ind w:firstLine="480"/>
        <w:rPr>
          <w:rFonts w:cs="宋体"/>
          <w:sz w:val="24"/>
          <w:szCs w:val="24"/>
        </w:rPr>
      </w:pPr>
      <w:r>
        <w:rPr>
          <w:rFonts w:hint="eastAsia" w:cs="宋体"/>
          <w:sz w:val="24"/>
          <w:szCs w:val="24"/>
        </w:rPr>
        <w:t>（1）越权或违规经营，违反基金合同或托管协议；</w:t>
      </w:r>
    </w:p>
    <w:p>
      <w:pPr>
        <w:pStyle w:val="21"/>
        <w:adjustRightInd w:val="0"/>
        <w:snapToGrid w:val="0"/>
        <w:ind w:firstLine="480"/>
        <w:rPr>
          <w:rFonts w:cs="宋体"/>
          <w:sz w:val="24"/>
          <w:szCs w:val="24"/>
        </w:rPr>
      </w:pPr>
      <w:r>
        <w:rPr>
          <w:rFonts w:hint="eastAsia" w:cs="宋体"/>
          <w:sz w:val="24"/>
          <w:szCs w:val="24"/>
        </w:rPr>
        <w:t>（2）故意损害基金份额持有人或其他基金相关机构的合法利益；</w:t>
      </w:r>
    </w:p>
    <w:p>
      <w:pPr>
        <w:pStyle w:val="21"/>
        <w:adjustRightInd w:val="0"/>
        <w:snapToGrid w:val="0"/>
        <w:ind w:firstLine="480"/>
        <w:rPr>
          <w:rFonts w:cs="宋体"/>
          <w:sz w:val="24"/>
          <w:szCs w:val="24"/>
        </w:rPr>
      </w:pPr>
      <w:r>
        <w:rPr>
          <w:rFonts w:hint="eastAsia" w:cs="宋体"/>
          <w:sz w:val="24"/>
          <w:szCs w:val="24"/>
        </w:rPr>
        <w:t>（3）在向中国证监会报送的材料中弄虚作假；</w:t>
      </w:r>
    </w:p>
    <w:p>
      <w:pPr>
        <w:pStyle w:val="21"/>
        <w:adjustRightInd w:val="0"/>
        <w:snapToGrid w:val="0"/>
        <w:ind w:firstLine="480"/>
        <w:rPr>
          <w:rFonts w:cs="宋体"/>
          <w:sz w:val="24"/>
          <w:szCs w:val="24"/>
        </w:rPr>
      </w:pPr>
      <w:r>
        <w:rPr>
          <w:rFonts w:hint="eastAsia" w:cs="宋体"/>
          <w:sz w:val="24"/>
          <w:szCs w:val="24"/>
        </w:rPr>
        <w:t>（4）拒绝、干扰、阻挠或严重影响中国证监会依法监管；</w:t>
      </w:r>
    </w:p>
    <w:p>
      <w:pPr>
        <w:pStyle w:val="21"/>
        <w:adjustRightInd w:val="0"/>
        <w:snapToGrid w:val="0"/>
        <w:ind w:firstLine="480"/>
        <w:rPr>
          <w:rFonts w:cs="宋体"/>
          <w:sz w:val="24"/>
          <w:szCs w:val="24"/>
        </w:rPr>
      </w:pPr>
      <w:r>
        <w:rPr>
          <w:rFonts w:hint="eastAsia" w:cs="宋体"/>
          <w:sz w:val="24"/>
          <w:szCs w:val="24"/>
        </w:rPr>
        <w:t>（5）玩忽职守、滥用职权，不按照规定履行职责；</w:t>
      </w:r>
    </w:p>
    <w:p>
      <w:pPr>
        <w:pStyle w:val="21"/>
        <w:adjustRightInd w:val="0"/>
        <w:snapToGrid w:val="0"/>
        <w:ind w:firstLine="480"/>
        <w:rPr>
          <w:rFonts w:cs="宋体"/>
          <w:sz w:val="24"/>
          <w:szCs w:val="24"/>
        </w:rPr>
      </w:pPr>
      <w:r>
        <w:rPr>
          <w:rFonts w:hint="eastAsia" w:cs="宋体"/>
          <w:sz w:val="24"/>
          <w:szCs w:val="24"/>
        </w:rPr>
        <w:t>（6）泄露在任职期间知悉的有关证券、基金的商业秘密、尚未依法公开的基金投资内容、基金投资计划等信息，或利用该信息从事或者明示、暗示他人从事相关的交易活动；</w:t>
      </w:r>
    </w:p>
    <w:p>
      <w:pPr>
        <w:pStyle w:val="21"/>
        <w:adjustRightInd w:val="0"/>
        <w:snapToGrid w:val="0"/>
        <w:ind w:firstLine="480"/>
        <w:rPr>
          <w:rFonts w:cs="宋体"/>
          <w:sz w:val="24"/>
          <w:szCs w:val="24"/>
        </w:rPr>
      </w:pPr>
      <w:r>
        <w:rPr>
          <w:rFonts w:hint="eastAsia" w:cs="宋体"/>
          <w:sz w:val="24"/>
          <w:szCs w:val="24"/>
        </w:rPr>
        <w:t>（7）其他法律、行政法规以及中国证监会禁止的行为。</w:t>
      </w:r>
    </w:p>
    <w:p>
      <w:pPr>
        <w:pStyle w:val="21"/>
        <w:adjustRightInd w:val="0"/>
        <w:snapToGrid w:val="0"/>
        <w:ind w:firstLine="480"/>
        <w:rPr>
          <w:rFonts w:cs="宋体"/>
          <w:sz w:val="24"/>
          <w:szCs w:val="24"/>
        </w:rPr>
      </w:pPr>
      <w:r>
        <w:rPr>
          <w:rFonts w:hint="eastAsia" w:cs="宋体"/>
          <w:sz w:val="24"/>
          <w:szCs w:val="24"/>
        </w:rPr>
        <w:t>5、基金经理承诺</w:t>
      </w:r>
    </w:p>
    <w:p>
      <w:pPr>
        <w:pStyle w:val="21"/>
        <w:adjustRightInd w:val="0"/>
        <w:snapToGrid w:val="0"/>
        <w:ind w:firstLine="480"/>
        <w:rPr>
          <w:rFonts w:cs="宋体"/>
          <w:sz w:val="24"/>
          <w:szCs w:val="24"/>
        </w:rPr>
      </w:pPr>
      <w:r>
        <w:rPr>
          <w:rFonts w:hint="eastAsia" w:cs="宋体"/>
          <w:sz w:val="24"/>
          <w:szCs w:val="24"/>
        </w:rPr>
        <w:t>（1）依照有关法律法规和基金合同的规定，本着谨慎的原则为基金份额持有人谋取最大利益；</w:t>
      </w:r>
    </w:p>
    <w:p>
      <w:pPr>
        <w:pStyle w:val="21"/>
        <w:adjustRightInd w:val="0"/>
        <w:snapToGrid w:val="0"/>
        <w:ind w:firstLine="480"/>
        <w:rPr>
          <w:rFonts w:cs="宋体"/>
          <w:sz w:val="24"/>
          <w:szCs w:val="24"/>
        </w:rPr>
      </w:pPr>
      <w:r>
        <w:rPr>
          <w:rFonts w:hint="eastAsia" w:cs="宋体"/>
          <w:sz w:val="24"/>
          <w:szCs w:val="24"/>
        </w:rPr>
        <w:t>（2）不利用职务之便为自己及其代理人、代表人、受雇人或任何第三人谋取利益；</w:t>
      </w:r>
    </w:p>
    <w:p>
      <w:pPr>
        <w:pStyle w:val="21"/>
        <w:adjustRightInd w:val="0"/>
        <w:snapToGrid w:val="0"/>
        <w:ind w:firstLine="480"/>
        <w:rPr>
          <w:rFonts w:cs="宋体"/>
          <w:sz w:val="24"/>
          <w:szCs w:val="24"/>
        </w:rPr>
      </w:pPr>
      <w:r>
        <w:rPr>
          <w:rFonts w:hint="eastAsia" w:cs="宋体"/>
          <w:sz w:val="24"/>
          <w:szCs w:val="24"/>
        </w:rPr>
        <w:t>（3）不泄露在任职期间知悉的有关证券、基金的商业秘密、尚未依法公开的基金投资内容、基金投资计划等信息，或利用该信息从事或者明示、暗示他人从事相关的交易活动；</w:t>
      </w:r>
    </w:p>
    <w:p>
      <w:pPr>
        <w:pStyle w:val="21"/>
        <w:adjustRightInd w:val="0"/>
        <w:snapToGrid w:val="0"/>
        <w:ind w:firstLine="480"/>
        <w:rPr>
          <w:rFonts w:cs="宋体"/>
          <w:sz w:val="24"/>
          <w:szCs w:val="24"/>
        </w:rPr>
      </w:pPr>
      <w:r>
        <w:rPr>
          <w:rFonts w:hint="eastAsia" w:cs="宋体"/>
          <w:sz w:val="24"/>
          <w:szCs w:val="24"/>
        </w:rPr>
        <w:t>（4）不以任何形式为其他组织或个人进行证券交易。</w:t>
      </w:r>
    </w:p>
    <w:p>
      <w:pPr>
        <w:pStyle w:val="21"/>
        <w:adjustRightInd w:val="0"/>
        <w:snapToGrid w:val="0"/>
        <w:ind w:firstLine="480"/>
        <w:rPr>
          <w:rFonts w:cs="宋体"/>
          <w:sz w:val="24"/>
          <w:szCs w:val="24"/>
        </w:rPr>
      </w:pPr>
      <w:r>
        <w:rPr>
          <w:rFonts w:hint="eastAsia" w:cs="宋体"/>
          <w:sz w:val="24"/>
          <w:szCs w:val="24"/>
        </w:rPr>
        <w:t>五、基金管理人的风险管理体系和内部控制制度</w:t>
      </w:r>
    </w:p>
    <w:p>
      <w:pPr>
        <w:pStyle w:val="21"/>
        <w:adjustRightInd w:val="0"/>
        <w:snapToGrid w:val="0"/>
        <w:ind w:firstLine="480"/>
        <w:rPr>
          <w:rFonts w:cs="宋体"/>
          <w:sz w:val="24"/>
          <w:szCs w:val="24"/>
        </w:rPr>
      </w:pPr>
      <w:r>
        <w:rPr>
          <w:rFonts w:hint="eastAsia" w:cs="宋体"/>
          <w:sz w:val="24"/>
          <w:szCs w:val="24"/>
        </w:rPr>
        <w:t>1、风险管理体系</w:t>
      </w:r>
    </w:p>
    <w:p>
      <w:pPr>
        <w:pStyle w:val="21"/>
        <w:adjustRightInd w:val="0"/>
        <w:snapToGrid w:val="0"/>
        <w:ind w:firstLine="480"/>
        <w:rPr>
          <w:rFonts w:cs="宋体"/>
          <w:sz w:val="24"/>
          <w:szCs w:val="24"/>
        </w:rPr>
      </w:pPr>
      <w:r>
        <w:rPr>
          <w:rFonts w:hint="eastAsia" w:cs="宋体"/>
          <w:sz w:val="24"/>
          <w:szCs w:val="24"/>
        </w:rPr>
        <w:t>本基金在运作过程中面临的风险主要包括市场风险、信用风险、流动性风险、操作或技术风险、合规性风险、声誉风险和外部风险。针对上述各种风险，基金管理人建立了一套完整的风险管理体系，具体包括以下内容：</w:t>
      </w:r>
    </w:p>
    <w:p>
      <w:pPr>
        <w:pStyle w:val="21"/>
        <w:adjustRightInd w:val="0"/>
        <w:snapToGrid w:val="0"/>
        <w:ind w:firstLine="480"/>
        <w:rPr>
          <w:rFonts w:cs="宋体"/>
          <w:sz w:val="24"/>
          <w:szCs w:val="24"/>
        </w:rPr>
      </w:pPr>
      <w:r>
        <w:rPr>
          <w:rFonts w:hint="eastAsia" w:cs="宋体"/>
          <w:sz w:val="24"/>
          <w:szCs w:val="24"/>
        </w:rPr>
        <w:t>（1）建立风险管理环境。具体包括制定风险管理战略、目标，设置相应的组织机构，配备相应的人力资源与技术系统，设定风险管理的时间范围与空间范围等内容。</w:t>
      </w:r>
    </w:p>
    <w:p>
      <w:pPr>
        <w:pStyle w:val="21"/>
        <w:adjustRightInd w:val="0"/>
        <w:snapToGrid w:val="0"/>
        <w:ind w:firstLine="480"/>
        <w:rPr>
          <w:rFonts w:cs="宋体"/>
          <w:sz w:val="24"/>
          <w:szCs w:val="24"/>
        </w:rPr>
      </w:pPr>
      <w:r>
        <w:rPr>
          <w:rFonts w:hint="eastAsia" w:cs="宋体"/>
          <w:sz w:val="24"/>
          <w:szCs w:val="24"/>
        </w:rPr>
        <w:t>（2）识别风险。辨识组织系统与业务流程中存在什么样的风险，为什么会存在以及如何引起风险。</w:t>
      </w:r>
    </w:p>
    <w:p>
      <w:pPr>
        <w:pStyle w:val="21"/>
        <w:adjustRightInd w:val="0"/>
        <w:snapToGrid w:val="0"/>
        <w:ind w:firstLine="480"/>
        <w:rPr>
          <w:rFonts w:cs="宋体"/>
          <w:sz w:val="24"/>
          <w:szCs w:val="24"/>
        </w:rPr>
      </w:pPr>
      <w:r>
        <w:rPr>
          <w:rFonts w:hint="eastAsia" w:cs="宋体"/>
          <w:sz w:val="24"/>
          <w:szCs w:val="24"/>
        </w:rPr>
        <w:t>（3）分析风险。检查存在的控制措施，分析风险发生的可能性及其引起的后果。</w:t>
      </w:r>
    </w:p>
    <w:p>
      <w:pPr>
        <w:pStyle w:val="21"/>
        <w:adjustRightInd w:val="0"/>
        <w:snapToGrid w:val="0"/>
        <w:ind w:firstLine="480"/>
        <w:rPr>
          <w:rFonts w:cs="宋体"/>
          <w:sz w:val="24"/>
          <w:szCs w:val="24"/>
        </w:rPr>
      </w:pPr>
      <w:r>
        <w:rPr>
          <w:rFonts w:hint="eastAsia" w:cs="宋体"/>
          <w:sz w:val="24"/>
          <w:szCs w:val="24"/>
        </w:rPr>
        <w:t>（4）度量风险。评估风险水平的高低，既有定性的度量手段，也有定量的度量手段。定性的度量是把风险水平划分为若干级别，每一种风险按其发生的可能性与后果的严重程度分别进入相应的级别。定量的方法则是设计一些风险指标，测量其数值的大小。</w:t>
      </w:r>
    </w:p>
    <w:p>
      <w:pPr>
        <w:pStyle w:val="21"/>
        <w:adjustRightInd w:val="0"/>
        <w:snapToGrid w:val="0"/>
        <w:ind w:firstLine="480"/>
        <w:rPr>
          <w:rFonts w:cs="宋体"/>
          <w:sz w:val="24"/>
          <w:szCs w:val="24"/>
        </w:rPr>
      </w:pPr>
      <w:r>
        <w:rPr>
          <w:rFonts w:hint="eastAsia" w:cs="宋体"/>
          <w:sz w:val="24"/>
          <w:szCs w:val="24"/>
        </w:rPr>
        <w:t>（5）处理风险。将风险水平与既定的标准相对比，对于那些级别较低的风险，则承担它，但需加以监控。而对较为严重的风险，则实施一定的管理计划，对于一些后果极其严重的风险，则准备相应的应急处理措施。</w:t>
      </w:r>
    </w:p>
    <w:p>
      <w:pPr>
        <w:pStyle w:val="21"/>
        <w:adjustRightInd w:val="0"/>
        <w:snapToGrid w:val="0"/>
        <w:ind w:firstLine="480"/>
        <w:rPr>
          <w:rFonts w:cs="宋体"/>
          <w:sz w:val="24"/>
          <w:szCs w:val="24"/>
        </w:rPr>
      </w:pPr>
      <w:r>
        <w:rPr>
          <w:rFonts w:hint="eastAsia" w:cs="宋体"/>
          <w:sz w:val="24"/>
          <w:szCs w:val="24"/>
        </w:rPr>
        <w:t>（6）监视与检查。对已有的风险管理系统要监视及评价其管理绩效，在必要时适时加以改变。</w:t>
      </w:r>
    </w:p>
    <w:p>
      <w:pPr>
        <w:pStyle w:val="21"/>
        <w:adjustRightInd w:val="0"/>
        <w:snapToGrid w:val="0"/>
        <w:ind w:firstLine="480"/>
        <w:rPr>
          <w:rFonts w:cs="宋体"/>
          <w:sz w:val="24"/>
          <w:szCs w:val="24"/>
        </w:rPr>
      </w:pPr>
      <w:r>
        <w:rPr>
          <w:rFonts w:hint="eastAsia" w:cs="宋体"/>
          <w:sz w:val="24"/>
          <w:szCs w:val="24"/>
        </w:rPr>
        <w:t>（7）报告与咨询。建立风险管理的报告系统，使公司股东、公司董事会、公司高级管理人员及监管部门了解公司风险管理状况，并寻求咨询意见。</w:t>
      </w:r>
    </w:p>
    <w:p>
      <w:pPr>
        <w:pStyle w:val="21"/>
        <w:adjustRightInd w:val="0"/>
        <w:snapToGrid w:val="0"/>
        <w:ind w:firstLine="480"/>
        <w:rPr>
          <w:rFonts w:cs="宋体"/>
          <w:sz w:val="24"/>
          <w:szCs w:val="24"/>
        </w:rPr>
      </w:pPr>
      <w:r>
        <w:rPr>
          <w:rFonts w:hint="eastAsia" w:cs="宋体"/>
          <w:sz w:val="24"/>
          <w:szCs w:val="24"/>
        </w:rPr>
        <w:t>2、内部控制制度</w:t>
      </w:r>
    </w:p>
    <w:p>
      <w:pPr>
        <w:pStyle w:val="21"/>
        <w:adjustRightInd w:val="0"/>
        <w:snapToGrid w:val="0"/>
        <w:ind w:firstLine="480"/>
        <w:rPr>
          <w:rFonts w:cs="宋体"/>
          <w:sz w:val="24"/>
          <w:szCs w:val="24"/>
        </w:rPr>
      </w:pPr>
      <w:r>
        <w:rPr>
          <w:rFonts w:hint="eastAsia" w:cs="宋体"/>
          <w:sz w:val="24"/>
          <w:szCs w:val="24"/>
        </w:rPr>
        <w:t>（1）内部控制的原则</w:t>
      </w:r>
    </w:p>
    <w:p>
      <w:pPr>
        <w:pStyle w:val="21"/>
        <w:adjustRightInd w:val="0"/>
        <w:snapToGrid w:val="0"/>
        <w:ind w:firstLine="480"/>
        <w:rPr>
          <w:rFonts w:cs="宋体"/>
          <w:sz w:val="24"/>
          <w:szCs w:val="24"/>
        </w:rPr>
      </w:pPr>
      <w:r>
        <w:rPr>
          <w:rFonts w:hint="eastAsia" w:cs="宋体"/>
          <w:sz w:val="24"/>
          <w:szCs w:val="24"/>
        </w:rPr>
        <w:t>1）全面性原则。内部控制制度覆盖公司的各项业务、各个部门和各级人员，并渗透到决策、执行、监督、反馈等各个经营环节。</w:t>
      </w:r>
    </w:p>
    <w:p>
      <w:pPr>
        <w:pStyle w:val="21"/>
        <w:adjustRightInd w:val="0"/>
        <w:snapToGrid w:val="0"/>
        <w:ind w:firstLine="480"/>
        <w:rPr>
          <w:rFonts w:cs="宋体"/>
          <w:sz w:val="24"/>
          <w:szCs w:val="24"/>
        </w:rPr>
      </w:pPr>
      <w:r>
        <w:rPr>
          <w:rFonts w:hint="eastAsia" w:cs="宋体"/>
          <w:sz w:val="24"/>
          <w:szCs w:val="24"/>
        </w:rPr>
        <w:t>2）独立性原则。公司设立独立的督察长与监察稽核部门，并使它们保持高度的独立性与权威性。</w:t>
      </w:r>
    </w:p>
    <w:p>
      <w:pPr>
        <w:pStyle w:val="21"/>
        <w:adjustRightInd w:val="0"/>
        <w:snapToGrid w:val="0"/>
        <w:ind w:firstLine="480"/>
        <w:rPr>
          <w:rFonts w:cs="宋体"/>
          <w:sz w:val="24"/>
          <w:szCs w:val="24"/>
        </w:rPr>
      </w:pPr>
      <w:r>
        <w:rPr>
          <w:rFonts w:hint="eastAsia" w:cs="宋体"/>
          <w:sz w:val="24"/>
          <w:szCs w:val="24"/>
        </w:rPr>
        <w:t>3）相互制约原则。公司部门和岗位的设置权责分明、相互牵制，并通过切实可行的相互制衡措施来消除内部控制中的盲点。</w:t>
      </w:r>
    </w:p>
    <w:p>
      <w:pPr>
        <w:pStyle w:val="21"/>
        <w:adjustRightInd w:val="0"/>
        <w:snapToGrid w:val="0"/>
        <w:ind w:firstLine="480"/>
        <w:rPr>
          <w:rFonts w:cs="宋体"/>
          <w:sz w:val="24"/>
          <w:szCs w:val="24"/>
        </w:rPr>
      </w:pPr>
      <w:r>
        <w:rPr>
          <w:rFonts w:hint="eastAsia" w:cs="宋体"/>
          <w:sz w:val="24"/>
          <w:szCs w:val="24"/>
        </w:rPr>
        <w:t>4）有效性原则。公司的内部风险控制工作必须从实际出发，主要通过对工作流程的控制，进而达到对各项经营风险的控制。</w:t>
      </w:r>
    </w:p>
    <w:p>
      <w:pPr>
        <w:pStyle w:val="21"/>
        <w:adjustRightInd w:val="0"/>
        <w:snapToGrid w:val="0"/>
        <w:ind w:firstLine="480"/>
        <w:rPr>
          <w:rFonts w:cs="宋体"/>
          <w:sz w:val="24"/>
          <w:szCs w:val="24"/>
        </w:rPr>
      </w:pPr>
      <w:r>
        <w:rPr>
          <w:rFonts w:hint="eastAsia" w:cs="宋体"/>
          <w:sz w:val="24"/>
          <w:szCs w:val="24"/>
        </w:rPr>
        <w:t>5）防火墙原则。公司的投资管理、基金运作、计算机技术系统等相关部门，在物理上和制度上适当隔离。对因业务需要知悉内幕信息的人员，制定严格的批准程序和监督处罚措施。</w:t>
      </w:r>
    </w:p>
    <w:p>
      <w:pPr>
        <w:pStyle w:val="21"/>
        <w:adjustRightInd w:val="0"/>
        <w:snapToGrid w:val="0"/>
        <w:ind w:firstLine="480"/>
        <w:rPr>
          <w:rFonts w:cs="宋体"/>
          <w:sz w:val="24"/>
          <w:szCs w:val="24"/>
        </w:rPr>
      </w:pPr>
      <w:r>
        <w:rPr>
          <w:rFonts w:hint="eastAsia" w:cs="宋体"/>
          <w:sz w:val="24"/>
          <w:szCs w:val="24"/>
        </w:rPr>
        <w:t>6）适时性原则。公司内部风险控制制度的制定，应具有前瞻性，并且必须随着公司经营战略、经营方针、经营理念等内部环境的变化和国家法律、法规、政策制度等外部环境的改变及时进行相应的修改和完善。</w:t>
      </w:r>
    </w:p>
    <w:p>
      <w:pPr>
        <w:pStyle w:val="21"/>
        <w:adjustRightInd w:val="0"/>
        <w:snapToGrid w:val="0"/>
        <w:ind w:firstLine="480"/>
        <w:rPr>
          <w:rFonts w:cs="宋体"/>
          <w:sz w:val="24"/>
          <w:szCs w:val="24"/>
        </w:rPr>
      </w:pPr>
      <w:r>
        <w:rPr>
          <w:rFonts w:hint="eastAsia" w:cs="宋体"/>
          <w:sz w:val="24"/>
          <w:szCs w:val="24"/>
        </w:rPr>
        <w:t>（2）内部控制的主要内容</w:t>
      </w:r>
    </w:p>
    <w:p>
      <w:pPr>
        <w:pStyle w:val="21"/>
        <w:adjustRightInd w:val="0"/>
        <w:snapToGrid w:val="0"/>
        <w:ind w:firstLine="480"/>
        <w:rPr>
          <w:rFonts w:cs="宋体"/>
          <w:sz w:val="24"/>
          <w:szCs w:val="24"/>
        </w:rPr>
      </w:pPr>
      <w:r>
        <w:rPr>
          <w:rFonts w:hint="eastAsia" w:cs="宋体"/>
          <w:sz w:val="24"/>
          <w:szCs w:val="24"/>
        </w:rPr>
        <w:t>1）控制环境</w:t>
      </w:r>
    </w:p>
    <w:p>
      <w:pPr>
        <w:pStyle w:val="21"/>
        <w:adjustRightInd w:val="0"/>
        <w:snapToGrid w:val="0"/>
        <w:ind w:firstLine="480"/>
        <w:rPr>
          <w:rFonts w:cs="宋体"/>
          <w:sz w:val="24"/>
          <w:szCs w:val="24"/>
        </w:rPr>
      </w:pPr>
      <w:r>
        <w:rPr>
          <w:rFonts w:hint="eastAsia" w:cs="宋体"/>
          <w:sz w:val="24"/>
          <w:szCs w:val="24"/>
        </w:rPr>
        <w:t>公司董事会重视建立完善的公司治理结构与内部控制体系。基金管理人在董事会下设立了风险控制委员会，负责针对公司在经营管理和基金运作中的风险进行研究并制定相应的控制制度。在特殊情况下，风险控制委员会可依据其职权，在上报董事会的同时，对公司业务进行一定的干预。</w:t>
      </w:r>
    </w:p>
    <w:p>
      <w:pPr>
        <w:pStyle w:val="21"/>
        <w:adjustRightInd w:val="0"/>
        <w:snapToGrid w:val="0"/>
        <w:ind w:firstLine="480"/>
        <w:rPr>
          <w:rFonts w:cs="宋体"/>
          <w:sz w:val="24"/>
          <w:szCs w:val="24"/>
        </w:rPr>
      </w:pPr>
      <w:r>
        <w:rPr>
          <w:rFonts w:hint="eastAsia" w:cs="宋体"/>
          <w:sz w:val="24"/>
          <w:szCs w:val="24"/>
        </w:rPr>
        <w:t>公司管理层在总经理领导下，认真执行董事会确定的内部控制战略，为了有效贯彻公司董事会制定的经营方针及发展战略，设立了投资决策委员会，就基金投资等发表专业意见及建议。</w:t>
      </w:r>
    </w:p>
    <w:p>
      <w:pPr>
        <w:pStyle w:val="21"/>
        <w:adjustRightInd w:val="0"/>
        <w:snapToGrid w:val="0"/>
        <w:ind w:firstLine="480"/>
        <w:rPr>
          <w:rFonts w:cs="宋体"/>
          <w:sz w:val="24"/>
          <w:szCs w:val="24"/>
        </w:rPr>
      </w:pPr>
      <w:r>
        <w:rPr>
          <w:rFonts w:hint="eastAsia" w:cs="宋体"/>
          <w:sz w:val="24"/>
          <w:szCs w:val="24"/>
        </w:rPr>
        <w:t>此外，公司设有督察长，组织指导公司的监察与稽核工作，对公司和基金运作的合法性、合规性进行全面检查与监督，发生重大合规事件时向公司董事长和中国证监会报告。</w:t>
      </w:r>
    </w:p>
    <w:p>
      <w:pPr>
        <w:pStyle w:val="21"/>
        <w:adjustRightInd w:val="0"/>
        <w:snapToGrid w:val="0"/>
        <w:ind w:firstLine="480"/>
        <w:rPr>
          <w:rFonts w:cs="宋体"/>
          <w:sz w:val="24"/>
          <w:szCs w:val="24"/>
        </w:rPr>
      </w:pPr>
      <w:r>
        <w:rPr>
          <w:rFonts w:hint="eastAsia" w:cs="宋体"/>
          <w:sz w:val="24"/>
          <w:szCs w:val="24"/>
        </w:rPr>
        <w:t>2）风险评估</w:t>
      </w:r>
    </w:p>
    <w:p>
      <w:pPr>
        <w:pStyle w:val="21"/>
        <w:adjustRightInd w:val="0"/>
        <w:snapToGrid w:val="0"/>
        <w:ind w:firstLine="480"/>
        <w:rPr>
          <w:rFonts w:cs="宋体"/>
          <w:sz w:val="24"/>
          <w:szCs w:val="24"/>
        </w:rPr>
      </w:pPr>
      <w:r>
        <w:rPr>
          <w:rFonts w:hint="eastAsia" w:cs="宋体"/>
          <w:sz w:val="24"/>
          <w:szCs w:val="24"/>
        </w:rPr>
        <w:t>公司风险控制人员定期评估公司风险状况，范围包括所有能对经营目标产生负面影响的内部和外部因素，评估这些因素对公司总体经营目标产生影响的程度及可能性，并将评估报告报公司董事会及高层管理人员。</w:t>
      </w:r>
    </w:p>
    <w:p>
      <w:pPr>
        <w:pStyle w:val="21"/>
        <w:adjustRightInd w:val="0"/>
        <w:snapToGrid w:val="0"/>
        <w:ind w:firstLine="480"/>
        <w:rPr>
          <w:rFonts w:cs="宋体"/>
          <w:sz w:val="24"/>
          <w:szCs w:val="24"/>
        </w:rPr>
      </w:pPr>
      <w:r>
        <w:rPr>
          <w:rFonts w:hint="eastAsia" w:cs="宋体"/>
          <w:sz w:val="24"/>
          <w:szCs w:val="24"/>
        </w:rPr>
        <w:t>3）操作控制</w:t>
      </w:r>
    </w:p>
    <w:p>
      <w:pPr>
        <w:pStyle w:val="21"/>
        <w:adjustRightInd w:val="0"/>
        <w:snapToGrid w:val="0"/>
        <w:ind w:firstLine="480"/>
        <w:rPr>
          <w:rFonts w:cs="宋体"/>
          <w:sz w:val="24"/>
          <w:szCs w:val="24"/>
        </w:rPr>
      </w:pPr>
      <w:r>
        <w:rPr>
          <w:rFonts w:hint="eastAsia" w:cs="宋体"/>
          <w:sz w:val="24"/>
          <w:szCs w:val="24"/>
        </w:rPr>
        <w:t>公司内部组织结构的设计方面，体现部门之间职责有分工，但部门之间又相互合作与制衡的原则。基金投资管理、基金运作、市场等业务部门有明确的授权分工，各部门的操作相互独立，并且有独立的报告系统。各业务部门之间相互核对、相互牵制。</w:t>
      </w:r>
    </w:p>
    <w:p>
      <w:pPr>
        <w:pStyle w:val="21"/>
        <w:adjustRightInd w:val="0"/>
        <w:snapToGrid w:val="0"/>
        <w:ind w:firstLine="480"/>
        <w:rPr>
          <w:rFonts w:cs="宋体"/>
          <w:sz w:val="24"/>
          <w:szCs w:val="24"/>
        </w:rPr>
      </w:pPr>
      <w:r>
        <w:rPr>
          <w:rFonts w:hint="eastAsia" w:cs="宋体"/>
          <w:sz w:val="24"/>
          <w:szCs w:val="24"/>
        </w:rPr>
        <w:t>各业务部门内部工作岗位分工合理、职责明确，形成相互检查、相互制约的关系，以减少舞弊或差错发生的风险，各工作岗位均制定有相应的书面管理制度。</w:t>
      </w:r>
    </w:p>
    <w:p>
      <w:pPr>
        <w:pStyle w:val="21"/>
        <w:adjustRightInd w:val="0"/>
        <w:snapToGrid w:val="0"/>
        <w:ind w:firstLine="480"/>
        <w:rPr>
          <w:rFonts w:cs="宋体"/>
          <w:sz w:val="24"/>
          <w:szCs w:val="24"/>
        </w:rPr>
      </w:pPr>
      <w:r>
        <w:rPr>
          <w:rFonts w:hint="eastAsia" w:cs="宋体"/>
          <w:sz w:val="24"/>
          <w:szCs w:val="24"/>
        </w:rPr>
        <w:t>在明确的岗位责任制度基础上，设置科学、合理、标准化的业务操作流程，每项业务操作有清晰、书面化的操作手册，同时，规定完备的处理手续，指定人员进行处理。</w:t>
      </w:r>
    </w:p>
    <w:p>
      <w:pPr>
        <w:pStyle w:val="21"/>
        <w:adjustRightInd w:val="0"/>
        <w:snapToGrid w:val="0"/>
        <w:ind w:firstLine="480"/>
        <w:rPr>
          <w:rFonts w:cs="宋体"/>
          <w:sz w:val="24"/>
          <w:szCs w:val="24"/>
        </w:rPr>
      </w:pPr>
      <w:r>
        <w:rPr>
          <w:rFonts w:hint="eastAsia" w:cs="宋体"/>
          <w:sz w:val="24"/>
          <w:szCs w:val="24"/>
        </w:rPr>
        <w:t>4）信息与沟通</w:t>
      </w:r>
    </w:p>
    <w:p>
      <w:pPr>
        <w:pStyle w:val="21"/>
        <w:adjustRightInd w:val="0"/>
        <w:snapToGrid w:val="0"/>
        <w:ind w:firstLine="480"/>
        <w:rPr>
          <w:rFonts w:cs="宋体"/>
          <w:sz w:val="24"/>
          <w:szCs w:val="24"/>
        </w:rPr>
      </w:pPr>
      <w:r>
        <w:rPr>
          <w:rFonts w:hint="eastAsia" w:cs="宋体"/>
          <w:sz w:val="24"/>
          <w:szCs w:val="24"/>
        </w:rPr>
        <w:t>公司建立了内部办公自动化信息系统与业务汇报体系，通过建立有效的信息交流渠道，保证公司员工及各级管理人员可以充分了解与其职责相关的信息，保证信息及时送达适当的人员进行处理。</w:t>
      </w:r>
    </w:p>
    <w:p>
      <w:pPr>
        <w:pStyle w:val="21"/>
        <w:adjustRightInd w:val="0"/>
        <w:snapToGrid w:val="0"/>
        <w:ind w:firstLine="480"/>
        <w:rPr>
          <w:rFonts w:cs="宋体"/>
          <w:sz w:val="24"/>
          <w:szCs w:val="24"/>
        </w:rPr>
      </w:pPr>
      <w:r>
        <w:rPr>
          <w:rFonts w:hint="eastAsia" w:cs="宋体"/>
          <w:sz w:val="24"/>
          <w:szCs w:val="24"/>
        </w:rPr>
        <w:t>5）监督与内部稽核</w:t>
      </w:r>
    </w:p>
    <w:p>
      <w:pPr>
        <w:pStyle w:val="21"/>
        <w:adjustRightInd w:val="0"/>
        <w:snapToGrid w:val="0"/>
        <w:ind w:firstLine="480"/>
        <w:rPr>
          <w:rFonts w:cs="宋体"/>
          <w:sz w:val="24"/>
          <w:szCs w:val="24"/>
        </w:rPr>
      </w:pPr>
      <w:r>
        <w:rPr>
          <w:rFonts w:hint="eastAsia" w:cs="宋体"/>
          <w:sz w:val="24"/>
          <w:szCs w:val="24"/>
        </w:rPr>
        <w:t>基金管理人设立了独立于各业务部门的监察稽核部，其中监察稽核人员履行内部稽核职能，检查、评价公司内部控制制度合法合规性。监察稽核人员具有相对的独立性，定期出具合规报告，报公司督察长、董事会及中国证监会。</w:t>
      </w:r>
    </w:p>
    <w:p>
      <w:pPr>
        <w:pStyle w:val="21"/>
        <w:adjustRightInd w:val="0"/>
        <w:snapToGrid w:val="0"/>
        <w:ind w:firstLine="480"/>
        <w:rPr>
          <w:rFonts w:cs="宋体"/>
          <w:sz w:val="24"/>
          <w:szCs w:val="24"/>
        </w:rPr>
      </w:pPr>
      <w:r>
        <w:rPr>
          <w:rFonts w:hint="eastAsia" w:cs="宋体"/>
          <w:sz w:val="24"/>
          <w:szCs w:val="24"/>
        </w:rPr>
        <w:t>（3）基金管理人关于内部控制制度的声明</w:t>
      </w:r>
    </w:p>
    <w:p>
      <w:pPr>
        <w:pStyle w:val="21"/>
        <w:adjustRightInd w:val="0"/>
        <w:snapToGrid w:val="0"/>
        <w:ind w:firstLine="480"/>
        <w:rPr>
          <w:rFonts w:cs="宋体"/>
          <w:sz w:val="24"/>
          <w:szCs w:val="24"/>
        </w:rPr>
      </w:pPr>
      <w:r>
        <w:rPr>
          <w:rFonts w:hint="eastAsia" w:cs="宋体"/>
          <w:sz w:val="24"/>
          <w:szCs w:val="24"/>
        </w:rPr>
        <w:t>1）基金管理人确知建立、实施和维持内部控制制度是基金管理人董事会及管理层的责任；</w:t>
      </w:r>
    </w:p>
    <w:p>
      <w:pPr>
        <w:pStyle w:val="21"/>
        <w:adjustRightInd w:val="0"/>
        <w:snapToGrid w:val="0"/>
        <w:ind w:firstLine="480"/>
        <w:rPr>
          <w:rFonts w:cs="宋体"/>
          <w:sz w:val="24"/>
          <w:szCs w:val="24"/>
        </w:rPr>
      </w:pPr>
      <w:r>
        <w:rPr>
          <w:rFonts w:hint="eastAsia" w:cs="宋体"/>
          <w:sz w:val="24"/>
          <w:szCs w:val="24"/>
        </w:rPr>
        <w:t>2）上述关于内部控制制度的披露真实、准确；</w:t>
      </w:r>
    </w:p>
    <w:p>
      <w:pPr>
        <w:pStyle w:val="21"/>
        <w:adjustRightInd w:val="0"/>
        <w:snapToGrid w:val="0"/>
        <w:ind w:firstLine="480"/>
        <w:rPr>
          <w:sz w:val="24"/>
        </w:rPr>
      </w:pPr>
      <w:r>
        <w:rPr>
          <w:rFonts w:hint="eastAsia" w:cs="宋体"/>
          <w:sz w:val="24"/>
          <w:szCs w:val="24"/>
        </w:rPr>
        <w:t>3）基金管理人承诺将根据市场环境的变化及基金管理人的发展不断完善内部控制制度。</w:t>
      </w:r>
    </w:p>
    <w:p>
      <w:pPr>
        <w:pStyle w:val="2"/>
        <w:adjustRightInd w:val="0"/>
        <w:snapToGrid w:val="0"/>
        <w:spacing w:before="0" w:after="0" w:line="360" w:lineRule="auto"/>
        <w:jc w:val="center"/>
        <w:rPr>
          <w:rFonts w:ascii="宋体" w:hAnsi="宋体"/>
        </w:rPr>
      </w:pPr>
      <w:r>
        <w:rPr>
          <w:rFonts w:ascii="宋体" w:hAnsi="宋体"/>
        </w:rPr>
        <w:br w:type="page"/>
      </w:r>
      <w:bookmarkStart w:id="20" w:name="_Toc103003346"/>
      <w:r>
        <w:rPr>
          <w:rFonts w:ascii="宋体" w:hAnsi="宋体"/>
        </w:rPr>
        <w:t>第</w:t>
      </w:r>
      <w:r>
        <w:rPr>
          <w:rFonts w:hint="eastAsia" w:ascii="宋体" w:hAnsi="宋体"/>
        </w:rPr>
        <w:t>四</w:t>
      </w:r>
      <w:r>
        <w:rPr>
          <w:rFonts w:ascii="宋体" w:hAnsi="宋体"/>
        </w:rPr>
        <w:t>部分</w:t>
      </w:r>
      <w:r>
        <w:rPr>
          <w:rFonts w:hint="eastAsia" w:ascii="宋体" w:hAnsi="宋体"/>
        </w:rPr>
        <w:t xml:space="preserve">  基金托管人</w:t>
      </w:r>
      <w:bookmarkEnd w:id="20"/>
    </w:p>
    <w:p>
      <w:pPr>
        <w:pStyle w:val="21"/>
        <w:adjustRightInd w:val="0"/>
        <w:snapToGrid w:val="0"/>
        <w:ind w:firstLine="480"/>
        <w:rPr>
          <w:sz w:val="24"/>
        </w:rPr>
      </w:pPr>
    </w:p>
    <w:p>
      <w:pPr>
        <w:pStyle w:val="21"/>
        <w:adjustRightInd w:val="0"/>
        <w:snapToGrid w:val="0"/>
        <w:ind w:firstLine="480"/>
        <w:rPr>
          <w:rFonts w:cs="宋体"/>
          <w:sz w:val="24"/>
        </w:rPr>
      </w:pPr>
      <w:r>
        <w:rPr>
          <w:rFonts w:hint="eastAsia" w:cs="宋体"/>
          <w:sz w:val="24"/>
        </w:rPr>
        <w:t>一、基金托管人情况</w:t>
      </w:r>
    </w:p>
    <w:p>
      <w:pPr>
        <w:pStyle w:val="21"/>
        <w:adjustRightInd w:val="0"/>
        <w:snapToGrid w:val="0"/>
        <w:ind w:firstLine="480"/>
        <w:rPr>
          <w:rFonts w:cs="宋体"/>
          <w:sz w:val="24"/>
        </w:rPr>
      </w:pPr>
      <w:r>
        <w:rPr>
          <w:rFonts w:hint="eastAsia" w:cs="宋体"/>
          <w:sz w:val="24"/>
        </w:rPr>
        <w:t>1、基本情况</w:t>
      </w:r>
    </w:p>
    <w:p>
      <w:pPr>
        <w:spacing w:line="360" w:lineRule="auto"/>
        <w:ind w:firstLine="480" w:firstLineChars="200"/>
        <w:rPr>
          <w:rFonts w:ascii="宋体" w:hAnsi="宋体" w:cs="方正黑体_GBK"/>
          <w:bCs/>
          <w:kern w:val="0"/>
          <w:sz w:val="24"/>
        </w:rPr>
      </w:pPr>
      <w:r>
        <w:rPr>
          <w:rFonts w:hint="eastAsia" w:ascii="宋体" w:hAnsi="宋体" w:cs="方正黑体_GBK"/>
          <w:bCs/>
          <w:kern w:val="0"/>
          <w:sz w:val="24"/>
        </w:rPr>
        <w:t>公司法定中文名称：交通银行股份有限公司（简称：交通银行）</w:t>
      </w:r>
    </w:p>
    <w:p>
      <w:pPr>
        <w:spacing w:line="360" w:lineRule="auto"/>
        <w:ind w:firstLine="480" w:firstLineChars="200"/>
        <w:rPr>
          <w:rFonts w:ascii="宋体" w:hAnsi="宋体" w:cs="方正黑体_GBK"/>
          <w:bCs/>
          <w:kern w:val="0"/>
          <w:sz w:val="24"/>
        </w:rPr>
      </w:pPr>
      <w:r>
        <w:rPr>
          <w:rFonts w:hint="eastAsia" w:ascii="宋体" w:hAnsi="宋体" w:cs="方正黑体_GBK"/>
          <w:bCs/>
          <w:kern w:val="0"/>
          <w:sz w:val="24"/>
        </w:rPr>
        <w:t>公司法定英文名称：BANK OF COMMUNICATIONS CO.,LTD</w:t>
      </w:r>
    </w:p>
    <w:p>
      <w:pPr>
        <w:spacing w:line="360" w:lineRule="auto"/>
        <w:ind w:firstLine="480" w:firstLineChars="200"/>
        <w:rPr>
          <w:rFonts w:ascii="宋体" w:hAnsi="宋体" w:cs="方正黑体_GBK"/>
          <w:bCs/>
          <w:kern w:val="0"/>
          <w:sz w:val="24"/>
        </w:rPr>
      </w:pPr>
      <w:r>
        <w:rPr>
          <w:rFonts w:hint="eastAsia" w:ascii="宋体" w:hAnsi="宋体" w:cs="方正黑体_GBK"/>
          <w:bCs/>
          <w:kern w:val="0"/>
          <w:sz w:val="24"/>
        </w:rPr>
        <w:t>法定代表人：任德奇</w:t>
      </w:r>
    </w:p>
    <w:p>
      <w:pPr>
        <w:spacing w:line="360" w:lineRule="auto"/>
        <w:ind w:firstLine="480" w:firstLineChars="200"/>
        <w:rPr>
          <w:rFonts w:ascii="宋体" w:hAnsi="宋体" w:cs="方正黑体_GBK"/>
          <w:bCs/>
          <w:kern w:val="0"/>
          <w:sz w:val="24"/>
        </w:rPr>
      </w:pPr>
      <w:r>
        <w:rPr>
          <w:rFonts w:hint="eastAsia" w:ascii="宋体" w:hAnsi="宋体" w:cs="方正黑体_GBK"/>
          <w:bCs/>
          <w:kern w:val="0"/>
          <w:sz w:val="24"/>
        </w:rPr>
        <w:t xml:space="preserve">住    所：中国（上海）自由贸易试验区银城中路188号 </w:t>
      </w:r>
    </w:p>
    <w:p>
      <w:pPr>
        <w:spacing w:line="360" w:lineRule="auto"/>
        <w:ind w:firstLine="480" w:firstLineChars="200"/>
        <w:rPr>
          <w:rFonts w:ascii="宋体" w:hAnsi="宋体" w:cs="方正黑体_GBK"/>
          <w:bCs/>
          <w:kern w:val="0"/>
          <w:sz w:val="24"/>
        </w:rPr>
      </w:pPr>
      <w:r>
        <w:rPr>
          <w:rFonts w:hint="eastAsia" w:ascii="宋体" w:hAnsi="宋体" w:cs="方正黑体_GBK"/>
          <w:bCs/>
          <w:kern w:val="0"/>
          <w:sz w:val="24"/>
        </w:rPr>
        <w:t>办公地址：上海市长宁区仙霞路18号</w:t>
      </w:r>
    </w:p>
    <w:p>
      <w:pPr>
        <w:spacing w:line="360" w:lineRule="auto"/>
        <w:ind w:firstLine="480" w:firstLineChars="200"/>
        <w:rPr>
          <w:rFonts w:ascii="宋体" w:hAnsi="宋体" w:cs="方正黑体_GBK"/>
          <w:bCs/>
          <w:kern w:val="0"/>
          <w:sz w:val="24"/>
        </w:rPr>
      </w:pPr>
      <w:r>
        <w:rPr>
          <w:rFonts w:hint="eastAsia" w:ascii="宋体" w:hAnsi="宋体" w:cs="方正黑体_GBK"/>
          <w:bCs/>
          <w:kern w:val="0"/>
          <w:sz w:val="24"/>
        </w:rPr>
        <w:t>邮政编码：200336</w:t>
      </w:r>
    </w:p>
    <w:p>
      <w:pPr>
        <w:spacing w:line="360" w:lineRule="auto"/>
        <w:ind w:firstLine="480" w:firstLineChars="200"/>
        <w:rPr>
          <w:rFonts w:ascii="宋体" w:hAnsi="宋体" w:cs="方正黑体_GBK"/>
          <w:bCs/>
          <w:kern w:val="0"/>
          <w:sz w:val="24"/>
        </w:rPr>
      </w:pPr>
      <w:r>
        <w:rPr>
          <w:rFonts w:hint="eastAsia" w:ascii="宋体" w:hAnsi="宋体" w:cs="方正黑体_GBK"/>
          <w:bCs/>
          <w:kern w:val="0"/>
          <w:sz w:val="24"/>
        </w:rPr>
        <w:t>注册时间：1987年3月30日</w:t>
      </w:r>
    </w:p>
    <w:p>
      <w:pPr>
        <w:spacing w:line="360" w:lineRule="auto"/>
        <w:ind w:firstLine="480" w:firstLineChars="200"/>
        <w:rPr>
          <w:rFonts w:ascii="宋体" w:hAnsi="宋体" w:cs="方正黑体_GBK"/>
          <w:bCs/>
          <w:kern w:val="0"/>
          <w:sz w:val="24"/>
        </w:rPr>
      </w:pPr>
      <w:r>
        <w:rPr>
          <w:rFonts w:hint="eastAsia" w:ascii="宋体" w:hAnsi="宋体" w:cs="方正黑体_GBK"/>
          <w:bCs/>
          <w:kern w:val="0"/>
          <w:sz w:val="24"/>
        </w:rPr>
        <w:t>注册资本：742.63亿元</w:t>
      </w:r>
    </w:p>
    <w:p>
      <w:pPr>
        <w:spacing w:line="360" w:lineRule="auto"/>
        <w:ind w:firstLine="480" w:firstLineChars="200"/>
        <w:rPr>
          <w:rFonts w:ascii="宋体" w:hAnsi="宋体" w:cs="方正黑体_GBK"/>
          <w:bCs/>
          <w:kern w:val="0"/>
          <w:sz w:val="24"/>
        </w:rPr>
      </w:pPr>
      <w:r>
        <w:rPr>
          <w:rFonts w:hint="eastAsia" w:ascii="宋体" w:hAnsi="宋体" w:cs="方正黑体_GBK"/>
          <w:bCs/>
          <w:kern w:val="0"/>
          <w:sz w:val="24"/>
        </w:rPr>
        <w:t>基金托管资格批文及文号：中国证监会证监基字[1998]25号</w:t>
      </w:r>
    </w:p>
    <w:p>
      <w:pPr>
        <w:spacing w:line="360" w:lineRule="auto"/>
        <w:ind w:firstLine="480" w:firstLineChars="200"/>
        <w:rPr>
          <w:rFonts w:ascii="宋体" w:hAnsi="宋体" w:cs="方正黑体_GBK"/>
          <w:bCs/>
          <w:kern w:val="0"/>
          <w:sz w:val="24"/>
        </w:rPr>
      </w:pPr>
      <w:r>
        <w:rPr>
          <w:rFonts w:hint="eastAsia" w:ascii="宋体" w:hAnsi="宋体" w:cs="方正黑体_GBK"/>
          <w:bCs/>
          <w:kern w:val="0"/>
          <w:sz w:val="24"/>
        </w:rPr>
        <w:t>联系人：陆志俊</w:t>
      </w:r>
    </w:p>
    <w:p>
      <w:pPr>
        <w:spacing w:line="360" w:lineRule="auto"/>
        <w:ind w:firstLine="480" w:firstLineChars="200"/>
        <w:rPr>
          <w:rFonts w:ascii="宋体" w:hAnsi="宋体" w:cs="方正黑体_GBK"/>
          <w:bCs/>
          <w:kern w:val="0"/>
          <w:sz w:val="24"/>
        </w:rPr>
      </w:pPr>
      <w:r>
        <w:rPr>
          <w:rFonts w:hint="eastAsia" w:ascii="宋体" w:hAnsi="宋体" w:cs="方正黑体_GBK"/>
          <w:bCs/>
          <w:kern w:val="0"/>
          <w:sz w:val="24"/>
        </w:rPr>
        <w:t>电  话：95559</w:t>
      </w:r>
    </w:p>
    <w:p>
      <w:pPr>
        <w:spacing w:line="360" w:lineRule="auto"/>
        <w:ind w:firstLine="480" w:firstLineChars="200"/>
        <w:rPr>
          <w:rFonts w:ascii="宋体" w:hAnsi="宋体" w:cs="方正黑体_GBK"/>
          <w:bCs/>
          <w:kern w:val="0"/>
          <w:sz w:val="24"/>
        </w:rPr>
      </w:pPr>
      <w:r>
        <w:rPr>
          <w:rFonts w:hint="eastAsia" w:ascii="宋体" w:hAnsi="宋体" w:cs="方正黑体_GBK"/>
          <w:bCs/>
          <w:kern w:val="0"/>
          <w:sz w:val="24"/>
        </w:rPr>
        <w:t>交通银行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交通银行连续14年跻身《财富》(FORTUNE)世界500强，营业收入排名第161位；列《银行家》(The Banker)杂志全球千家大银行一级资本排名第9位。</w:t>
      </w:r>
    </w:p>
    <w:p>
      <w:pPr>
        <w:spacing w:line="360" w:lineRule="auto"/>
        <w:ind w:firstLine="480" w:firstLineChars="200"/>
        <w:rPr>
          <w:rFonts w:ascii="宋体" w:hAnsi="宋体" w:cs="方正黑体_GBK"/>
          <w:bCs/>
          <w:kern w:val="0"/>
          <w:sz w:val="24"/>
        </w:rPr>
      </w:pPr>
      <w:r>
        <w:rPr>
          <w:rFonts w:hint="eastAsia" w:ascii="宋体" w:hAnsi="宋体" w:cs="方正黑体_GBK"/>
          <w:bCs/>
          <w:kern w:val="0"/>
          <w:sz w:val="24"/>
        </w:rPr>
        <w:t>截至2023年9月30日，交通银行资产总额为人民币13.83万亿元。2023年三季度，交通银行实现净利润(归属于母公司股东)人民币691.7亿元。</w:t>
      </w:r>
    </w:p>
    <w:p>
      <w:pPr>
        <w:pStyle w:val="21"/>
        <w:adjustRightInd w:val="0"/>
        <w:snapToGrid w:val="0"/>
        <w:ind w:firstLine="480"/>
        <w:rPr>
          <w:rFonts w:cs="宋体"/>
          <w:sz w:val="24"/>
        </w:rPr>
      </w:pPr>
      <w:r>
        <w:rPr>
          <w:rFonts w:hint="eastAsia" w:ascii="宋体" w:hAnsi="宋体" w:cs="方正黑体_GBK"/>
          <w:bCs/>
          <w:kern w:val="0"/>
          <w:sz w:val="24"/>
        </w:rPr>
        <w:t>交通银行总行设资产托管部（下文简称“托管部”）。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w:t>
      </w:r>
      <w:bookmarkStart w:id="74" w:name="_GoBack"/>
      <w:bookmarkEnd w:id="74"/>
    </w:p>
    <w:p>
      <w:pPr>
        <w:pStyle w:val="21"/>
        <w:adjustRightInd w:val="0"/>
        <w:snapToGrid w:val="0"/>
        <w:ind w:firstLine="480"/>
        <w:rPr>
          <w:rFonts w:cs="宋体"/>
          <w:sz w:val="24"/>
        </w:rPr>
      </w:pPr>
      <w:r>
        <w:rPr>
          <w:rFonts w:hint="eastAsia" w:cs="宋体"/>
          <w:sz w:val="24"/>
        </w:rPr>
        <w:t>2、主要人员情况</w:t>
      </w:r>
    </w:p>
    <w:p>
      <w:pPr>
        <w:pStyle w:val="21"/>
        <w:adjustRightInd w:val="0"/>
        <w:snapToGrid w:val="0"/>
        <w:ind w:firstLine="480"/>
        <w:rPr>
          <w:rFonts w:cs="宋体"/>
          <w:sz w:val="24"/>
        </w:rPr>
      </w:pPr>
      <w:r>
        <w:rPr>
          <w:rFonts w:hint="eastAsia" w:cs="宋体"/>
          <w:sz w:val="24"/>
        </w:rPr>
        <w:t>任德奇先生，董事长、执行董事，高级经济师。</w:t>
      </w:r>
    </w:p>
    <w:p>
      <w:pPr>
        <w:pStyle w:val="21"/>
        <w:adjustRightInd w:val="0"/>
        <w:snapToGrid w:val="0"/>
        <w:ind w:firstLine="480"/>
        <w:rPr>
          <w:rFonts w:cs="宋体"/>
          <w:sz w:val="24"/>
        </w:rPr>
      </w:pPr>
      <w:r>
        <w:rPr>
          <w:rFonts w:hint="eastAsia" w:cs="宋体"/>
          <w:sz w:val="24"/>
        </w:rPr>
        <w:t>任先生2020年1月起任</w:t>
      </w:r>
      <w:r>
        <w:rPr>
          <w:rFonts w:hint="eastAsia"/>
          <w:bCs/>
          <w:sz w:val="24"/>
        </w:rPr>
        <w:t>交通银行</w:t>
      </w:r>
      <w:r>
        <w:rPr>
          <w:rFonts w:hint="eastAsia" w:cs="宋体"/>
          <w:sz w:val="24"/>
        </w:rPr>
        <w:t>董事长（其中：2019年12月至2020年7月代为履行行长职责）、执行董事，2018年8月至2020年1月任</w:t>
      </w:r>
      <w:r>
        <w:rPr>
          <w:rFonts w:hint="eastAsia"/>
          <w:bCs/>
          <w:sz w:val="24"/>
        </w:rPr>
        <w:t>交通银行</w:t>
      </w:r>
      <w:r>
        <w:rPr>
          <w:rFonts w:hint="eastAsia" w:cs="宋体"/>
          <w:sz w:val="24"/>
        </w:rPr>
        <w:t>副董事长（其中：2019年4月至2020年1月代为履行董事长职责）、执行董事，2018年8月至2019年12月任</w:t>
      </w:r>
      <w:r>
        <w:rPr>
          <w:rFonts w:hint="eastAsia"/>
          <w:bCs/>
          <w:sz w:val="24"/>
        </w:rPr>
        <w:t>交通银行</w:t>
      </w:r>
      <w:r>
        <w:rPr>
          <w:rFonts w:hint="eastAsia" w:cs="宋体"/>
          <w:sz w:val="24"/>
        </w:rPr>
        <w:t>行长； 2016年12月至2018年6月任中国银行执行董事、副行长，其中：2015年10月至2018年6月兼任中银香港（控股）有限公司非执行董事，2016年9月至2018年6月兼任中国银行上海人民币交易业务总部总裁；2014年7月至2016年11月任中国银行副行长，2003年8月至2014年5月历任中国建设银行信贷审批部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w:t>
      </w:r>
    </w:p>
    <w:p>
      <w:pPr>
        <w:pStyle w:val="21"/>
        <w:adjustRightInd w:val="0"/>
        <w:snapToGrid w:val="0"/>
        <w:ind w:firstLine="480"/>
        <w:rPr>
          <w:rFonts w:cs="宋体"/>
          <w:sz w:val="24"/>
        </w:rPr>
      </w:pPr>
      <w:r>
        <w:rPr>
          <w:rFonts w:hint="eastAsia" w:cs="宋体"/>
          <w:sz w:val="24"/>
        </w:rPr>
        <w:t>刘珺先生，副董事长、执行董事、行长，高级经济师。</w:t>
      </w:r>
    </w:p>
    <w:p>
      <w:pPr>
        <w:pStyle w:val="21"/>
        <w:adjustRightInd w:val="0"/>
        <w:snapToGrid w:val="0"/>
        <w:ind w:firstLine="480"/>
        <w:rPr>
          <w:rFonts w:cs="宋体"/>
          <w:sz w:val="24"/>
        </w:rPr>
      </w:pPr>
      <w:r>
        <w:rPr>
          <w:rFonts w:hint="eastAsia" w:cs="宋体"/>
          <w:sz w:val="24"/>
        </w:rPr>
        <w:t>刘先生2020年7月起担任</w:t>
      </w:r>
      <w:r>
        <w:rPr>
          <w:rFonts w:hint="eastAsia"/>
          <w:bCs/>
          <w:sz w:val="24"/>
        </w:rPr>
        <w:t>交通银行</w:t>
      </w:r>
      <w:r>
        <w:rPr>
          <w:rFonts w:hint="eastAsia" w:cs="宋体"/>
          <w:sz w:val="24"/>
        </w:rPr>
        <w:t>行长；2016年11月至2020 年5 月任中国投资有限责任公司副总经理；2014年12月至2016年11月任中国光大集团股份公司副总经理；2014年6月至2014年12月任中国光大（集团）总公司执行董事、副总经理（2014年6月至2016年11月期间先后兼任光大永明人寿保险有限公司董事长、中国光大集团有限公司副董事长、中国光大控股有限公司执行董事兼副主席、中国光大国际有限公司执行董事兼副主席、中国光大实业（集团）有限责任公司董事长）；2009年9月至2014年6月历任中国光大银行行长助理、副行长（期间先后兼任中国光大银行上海分行行长、中国光大银行金融市场中心总经理）；1993年7月至2009年9月先后在中国光大银行国际业务部、香港代表处、资金部、投行业务部工作。刘先生2003年于香港理工大学获工商管理博士学位。</w:t>
      </w:r>
    </w:p>
    <w:p>
      <w:pPr>
        <w:pStyle w:val="21"/>
        <w:adjustRightInd w:val="0"/>
        <w:snapToGrid w:val="0"/>
        <w:ind w:firstLine="480"/>
        <w:rPr>
          <w:rFonts w:cs="宋体"/>
          <w:sz w:val="24"/>
        </w:rPr>
      </w:pPr>
      <w:r>
        <w:rPr>
          <w:rFonts w:hint="eastAsia" w:cs="宋体"/>
          <w:sz w:val="24"/>
        </w:rPr>
        <w:t>徐铁先生，资产托管部总经理。</w:t>
      </w:r>
    </w:p>
    <w:p>
      <w:pPr>
        <w:pStyle w:val="21"/>
        <w:adjustRightInd w:val="0"/>
        <w:snapToGrid w:val="0"/>
        <w:ind w:firstLine="480"/>
        <w:rPr>
          <w:rFonts w:cs="宋体"/>
          <w:sz w:val="24"/>
        </w:rPr>
      </w:pPr>
      <w:r>
        <w:rPr>
          <w:rFonts w:hint="eastAsia" w:cs="宋体"/>
          <w:sz w:val="24"/>
        </w:rPr>
        <w:t>徐铁先生2022年4月起任</w:t>
      </w:r>
      <w:r>
        <w:rPr>
          <w:rFonts w:hint="eastAsia"/>
          <w:bCs/>
          <w:sz w:val="24"/>
        </w:rPr>
        <w:t>交通银行</w:t>
      </w:r>
      <w:r>
        <w:rPr>
          <w:rFonts w:hint="eastAsia" w:cs="宋体"/>
          <w:sz w:val="24"/>
        </w:rPr>
        <w:t>资产托管部总经理；2014年12月至2022年4月任</w:t>
      </w:r>
      <w:r>
        <w:rPr>
          <w:rFonts w:hint="eastAsia"/>
          <w:bCs/>
          <w:sz w:val="24"/>
        </w:rPr>
        <w:t>交通银行</w:t>
      </w:r>
      <w:r>
        <w:rPr>
          <w:rFonts w:hint="eastAsia" w:cs="宋体"/>
          <w:sz w:val="24"/>
        </w:rPr>
        <w:t>资产托管部副总经理；2000年7月至2014年12月，历任交通银行资产托管部客户经理、保险与养老金部副高级经理、高级经理、保险保障业务部高级经理、总经理助理。徐先生2000年于复旦大学获经济学硕士学位。</w:t>
      </w:r>
    </w:p>
    <w:p>
      <w:pPr>
        <w:pStyle w:val="21"/>
        <w:adjustRightInd w:val="0"/>
        <w:snapToGrid w:val="0"/>
        <w:ind w:firstLine="480"/>
        <w:rPr>
          <w:rFonts w:cs="宋体"/>
          <w:sz w:val="24"/>
        </w:rPr>
      </w:pPr>
      <w:r>
        <w:rPr>
          <w:rFonts w:hint="eastAsia" w:cs="宋体"/>
          <w:sz w:val="24"/>
        </w:rPr>
        <w:t>3、基金托管业务经营情况</w:t>
      </w:r>
    </w:p>
    <w:p>
      <w:pPr>
        <w:pStyle w:val="21"/>
        <w:adjustRightInd w:val="0"/>
        <w:snapToGrid w:val="0"/>
        <w:ind w:firstLine="480"/>
        <w:rPr>
          <w:rFonts w:cs="宋体"/>
          <w:sz w:val="24"/>
        </w:rPr>
      </w:pPr>
      <w:r>
        <w:rPr>
          <w:rFonts w:hint="eastAsia" w:cs="宋体"/>
          <w:sz w:val="24"/>
        </w:rPr>
        <w:t>截至2023年9月30日，交通银行共托管证券投资基金757只。此外，交通银行还托管了基金公司特定客户资产管理计划、证券公司客户资产管理计划、银行理财产品、信托计划、私募投资基金、保险资金、全国社保基金、养老保障管理基金、企业年金基金、职业年金基金、期货公司资产管理计划、QFI证券投资资产、QDII证券投资资产、RQDII证券投资资产、QDIE、QDLP和QFLP等产品。</w:t>
      </w:r>
    </w:p>
    <w:p>
      <w:pPr>
        <w:pStyle w:val="21"/>
        <w:adjustRightInd w:val="0"/>
        <w:snapToGrid w:val="0"/>
        <w:ind w:firstLine="480"/>
        <w:rPr>
          <w:rFonts w:cs="宋体"/>
          <w:sz w:val="24"/>
        </w:rPr>
      </w:pPr>
      <w:r>
        <w:rPr>
          <w:rFonts w:hint="eastAsia" w:cs="宋体"/>
          <w:sz w:val="24"/>
        </w:rPr>
        <w:t>二、基金托管人的内部控制制度</w:t>
      </w:r>
    </w:p>
    <w:p>
      <w:pPr>
        <w:pStyle w:val="21"/>
        <w:adjustRightInd w:val="0"/>
        <w:snapToGrid w:val="0"/>
        <w:ind w:firstLine="480"/>
        <w:rPr>
          <w:rFonts w:cs="宋体"/>
          <w:sz w:val="24"/>
        </w:rPr>
      </w:pPr>
      <w:r>
        <w:rPr>
          <w:rFonts w:hint="eastAsia" w:cs="宋体"/>
          <w:sz w:val="24"/>
        </w:rPr>
        <w:t>（一）内部控制目标</w:t>
      </w:r>
    </w:p>
    <w:p>
      <w:pPr>
        <w:pStyle w:val="21"/>
        <w:adjustRightInd w:val="0"/>
        <w:snapToGrid w:val="0"/>
        <w:ind w:firstLine="480"/>
        <w:rPr>
          <w:rFonts w:cs="宋体"/>
          <w:sz w:val="24"/>
        </w:rPr>
      </w:pPr>
      <w:r>
        <w:rPr>
          <w:rFonts w:hint="eastAsia" w:cs="宋体"/>
          <w:sz w:val="24"/>
        </w:rPr>
        <w:t>交通银行严格遵守国家法律法规、行业规章及行内相关管理规定，加强内部管理，托管部业务制度健全并确保贯彻执行各项规章，通过对各种风险的识别、评估、控制及缓释，有效地实现对各项业务的风险管控，确保业务稳健运行，保护基金持有人的合法权益。</w:t>
      </w:r>
    </w:p>
    <w:p>
      <w:pPr>
        <w:pStyle w:val="21"/>
        <w:adjustRightInd w:val="0"/>
        <w:snapToGrid w:val="0"/>
        <w:ind w:firstLine="480"/>
        <w:rPr>
          <w:rFonts w:cs="宋体"/>
          <w:sz w:val="24"/>
        </w:rPr>
      </w:pPr>
      <w:r>
        <w:rPr>
          <w:rFonts w:hint="eastAsia" w:cs="宋体"/>
          <w:sz w:val="24"/>
        </w:rPr>
        <w:t>（二）内部控制原则</w:t>
      </w:r>
    </w:p>
    <w:p>
      <w:pPr>
        <w:pStyle w:val="21"/>
        <w:adjustRightInd w:val="0"/>
        <w:snapToGrid w:val="0"/>
        <w:ind w:firstLine="480"/>
        <w:rPr>
          <w:rFonts w:cs="宋体"/>
          <w:sz w:val="24"/>
        </w:rPr>
      </w:pPr>
      <w:r>
        <w:rPr>
          <w:rFonts w:hint="eastAsia" w:cs="宋体"/>
          <w:sz w:val="24"/>
        </w:rPr>
        <w:t>1、合法性原则：托管部制定的各项制度符合国家法律法规及监管机构的监管要求，并贯穿于托管业务经营管理活动始终。</w:t>
      </w:r>
    </w:p>
    <w:p>
      <w:pPr>
        <w:pStyle w:val="21"/>
        <w:adjustRightInd w:val="0"/>
        <w:snapToGrid w:val="0"/>
        <w:ind w:firstLine="480"/>
        <w:rPr>
          <w:rFonts w:cs="宋体"/>
          <w:sz w:val="24"/>
        </w:rPr>
      </w:pPr>
      <w:r>
        <w:rPr>
          <w:rFonts w:hint="eastAsia" w:cs="宋体"/>
          <w:sz w:val="24"/>
        </w:rPr>
        <w:t>2、全面性原则：托管部建立各二级部自我监控和风险合规部风险管控的内部控制机制，覆盖各项业务、各个部门和各级人员，并渗透到决策、执行、监督、反馈等各个经营环节，建立全面的风险管理监督机制。</w:t>
      </w:r>
    </w:p>
    <w:p>
      <w:pPr>
        <w:pStyle w:val="21"/>
        <w:adjustRightInd w:val="0"/>
        <w:snapToGrid w:val="0"/>
        <w:ind w:firstLine="480"/>
        <w:rPr>
          <w:rFonts w:cs="宋体"/>
          <w:sz w:val="24"/>
        </w:rPr>
      </w:pPr>
      <w:r>
        <w:rPr>
          <w:rFonts w:hint="eastAsia" w:cs="宋体"/>
          <w:sz w:val="24"/>
        </w:rPr>
        <w:t>3、独立性原则：托管部独立负责受托基金资产的保管，保证基金资产与交通银行的自有资产相互独立，对不同的受托基金资产分别设置账户，独立核算，分账管理。</w:t>
      </w:r>
    </w:p>
    <w:p>
      <w:pPr>
        <w:pStyle w:val="21"/>
        <w:adjustRightInd w:val="0"/>
        <w:snapToGrid w:val="0"/>
        <w:ind w:firstLine="480"/>
        <w:rPr>
          <w:rFonts w:cs="宋体"/>
          <w:sz w:val="24"/>
        </w:rPr>
      </w:pPr>
      <w:r>
        <w:rPr>
          <w:rFonts w:hint="eastAsia" w:cs="宋体"/>
          <w:sz w:val="24"/>
        </w:rPr>
        <w:t>4、制衡性原则：托管部贯彻适当授权、相互制约的原则，从组织架构的设置上确保各二级部和各岗位权责分明、相互制约，并通过有效的相互制衡措施消除内部控制中的盲点。</w:t>
      </w:r>
    </w:p>
    <w:p>
      <w:pPr>
        <w:pStyle w:val="21"/>
        <w:adjustRightInd w:val="0"/>
        <w:snapToGrid w:val="0"/>
        <w:ind w:firstLine="480"/>
        <w:rPr>
          <w:rFonts w:cs="宋体"/>
          <w:sz w:val="24"/>
        </w:rPr>
      </w:pPr>
      <w:r>
        <w:rPr>
          <w:rFonts w:hint="eastAsia" w:cs="宋体"/>
          <w:sz w:val="24"/>
        </w:rPr>
        <w:t>5、有效性原则：托管部在岗位、业务二级部和风险合规部三级内控管理模式的基础上，形成科学合理的内部控制决策机制、执行机制和监督机制，通过行之有效的控制流程、控制措施，建立合理的内控程序，保障各项内控管理目标被有效执行。</w:t>
      </w:r>
    </w:p>
    <w:p>
      <w:pPr>
        <w:pStyle w:val="21"/>
        <w:adjustRightInd w:val="0"/>
        <w:snapToGrid w:val="0"/>
        <w:ind w:firstLine="480"/>
        <w:rPr>
          <w:rFonts w:cs="宋体"/>
          <w:sz w:val="24"/>
        </w:rPr>
      </w:pPr>
      <w:r>
        <w:rPr>
          <w:rFonts w:hint="eastAsia" w:cs="宋体"/>
          <w:sz w:val="24"/>
        </w:rPr>
        <w:t>6、效益性原则：托管部内部控制与基金托管规模、业务范围和业务运作环节的风险控制要求相适应，尽量降低经营运作成本，以合理的控制成本实现最佳的内部控制目标。</w:t>
      </w:r>
    </w:p>
    <w:p>
      <w:pPr>
        <w:pStyle w:val="21"/>
        <w:adjustRightInd w:val="0"/>
        <w:snapToGrid w:val="0"/>
        <w:ind w:firstLine="480"/>
        <w:rPr>
          <w:rFonts w:cs="宋体"/>
          <w:sz w:val="24"/>
        </w:rPr>
      </w:pPr>
      <w:r>
        <w:rPr>
          <w:rFonts w:hint="eastAsia" w:cs="宋体"/>
          <w:sz w:val="24"/>
        </w:rPr>
        <w:t>（三）内部控制制度及措施</w:t>
      </w:r>
    </w:p>
    <w:p>
      <w:pPr>
        <w:pStyle w:val="21"/>
        <w:adjustRightInd w:val="0"/>
        <w:snapToGrid w:val="0"/>
        <w:ind w:firstLine="480"/>
        <w:rPr>
          <w:rFonts w:cs="宋体"/>
          <w:sz w:val="24"/>
        </w:rPr>
      </w:pPr>
      <w:r>
        <w:rPr>
          <w:rFonts w:hint="eastAsia" w:cs="宋体"/>
          <w:sz w:val="24"/>
        </w:rPr>
        <w:t xml:space="preserve">根据《证券投资基金法》、《中华人民共和国商业银行法》、《商业银行资产托管业务指引》等法律法规，托管部制定了一整套严密、完整的证券投资基金托管管理规章制度，确保基金托管业务运行的规范、安全、高效，包括《交通银行资产托管业务管理办法》、《交通银行资产托管业务风险管理办法》、《交通银行资产托管业务商业秘密管理规定》、《交通银行资产托管业务从业人员行为规范》、《交通银行资产托管业务运营档案管理办法》等，并根据市场变化和基金业务的发展不断加以完善。做到业务分工科学合理，技术系统管理规范，业务管理制度健全，核心作业区实行封闭管理，落实各项安全隔离措施，相关信息披露由专人负责。 </w:t>
      </w:r>
    </w:p>
    <w:p>
      <w:pPr>
        <w:pStyle w:val="21"/>
        <w:adjustRightInd w:val="0"/>
        <w:snapToGrid w:val="0"/>
        <w:ind w:firstLine="480"/>
        <w:rPr>
          <w:rFonts w:cs="宋体"/>
          <w:sz w:val="24"/>
        </w:rPr>
      </w:pPr>
      <w:r>
        <w:rPr>
          <w:rFonts w:hint="eastAsia" w:cs="宋体"/>
          <w:sz w:val="24"/>
        </w:rPr>
        <w:t>托管部通过对基金托管业务各环节的事前揭示、事中控制和事后检查措施实现全流程、全链条的风险管理，聘请国际著名会计师事务所对基金托管业务运行进行国际标准的内部控制评审。</w:t>
      </w:r>
    </w:p>
    <w:p>
      <w:pPr>
        <w:pStyle w:val="21"/>
        <w:adjustRightInd w:val="0"/>
        <w:snapToGrid w:val="0"/>
        <w:ind w:firstLine="480"/>
        <w:rPr>
          <w:rFonts w:cs="宋体"/>
          <w:sz w:val="24"/>
        </w:rPr>
      </w:pPr>
      <w:r>
        <w:rPr>
          <w:rFonts w:hint="eastAsia" w:cs="宋体"/>
          <w:sz w:val="24"/>
        </w:rPr>
        <w:t>三、基金托管人对基金管理人运作基金进行监督的方法和程序</w:t>
      </w:r>
    </w:p>
    <w:p>
      <w:pPr>
        <w:pStyle w:val="21"/>
        <w:adjustRightInd w:val="0"/>
        <w:snapToGrid w:val="0"/>
        <w:ind w:firstLineChars="175"/>
        <w:rPr>
          <w:sz w:val="24"/>
        </w:rPr>
      </w:pPr>
      <w:bookmarkStart w:id="21" w:name="_Hlt140627910"/>
      <w:bookmarkEnd w:id="21"/>
      <w:bookmarkStart w:id="22" w:name="_Hlt88821694"/>
      <w:bookmarkEnd w:id="22"/>
      <w:r>
        <w:rPr>
          <w:rFonts w:hint="eastAsia"/>
          <w:sz w:val="24"/>
        </w:rPr>
        <w:t>交通银行作为基金托管人，根据《基金法》、《运作办法》和有关证券法规的规定，对基金的投资对象、基金资产的投资组合比例、基金资产的核算、基金资产净值的计算、基金管理人报酬的计提和支付、基金托管人报酬的计提和支付、基金的申购资金的到账与赎回资金的划付、基金收益分配等行为的合法性、合规性进行监督和核查。</w:t>
      </w:r>
    </w:p>
    <w:p>
      <w:pPr>
        <w:pStyle w:val="21"/>
        <w:adjustRightInd w:val="0"/>
        <w:snapToGrid w:val="0"/>
        <w:ind w:firstLineChars="175"/>
        <w:rPr>
          <w:sz w:val="24"/>
        </w:rPr>
      </w:pPr>
      <w:r>
        <w:rPr>
          <w:rFonts w:hint="eastAsia"/>
          <w:sz w:val="24"/>
        </w:rPr>
        <w:t>交通银行作为基金托管人，发现基金管理人有违反《基金法》、《运作办法》等有关证券法规和《基金合同》的行为，及时通知基金管理人予以纠正，基金管理人收到通知后及时核对确认并进行调整。交通银行有权对通知事项进行复查，督促基金管理人改正。基金管理人对交通银行通知的违规事项未能及时纠正的，交通银行按规定报告中国证监会。</w:t>
      </w:r>
    </w:p>
    <w:p>
      <w:pPr>
        <w:pStyle w:val="21"/>
        <w:adjustRightInd w:val="0"/>
        <w:snapToGrid w:val="0"/>
        <w:ind w:firstLineChars="175"/>
        <w:rPr>
          <w:sz w:val="24"/>
        </w:rPr>
      </w:pPr>
      <w:r>
        <w:rPr>
          <w:rFonts w:hint="eastAsia"/>
          <w:sz w:val="24"/>
        </w:rPr>
        <w:t>交通银行作为基金托管人，发现基金管理人有重大违规行为，有权立即报告中国证监会，同时通知基金管理人限期纠正。</w:t>
      </w:r>
    </w:p>
    <w:p>
      <w:pPr>
        <w:pStyle w:val="2"/>
        <w:adjustRightInd w:val="0"/>
        <w:snapToGrid w:val="0"/>
        <w:spacing w:before="0" w:after="0" w:line="360" w:lineRule="auto"/>
        <w:jc w:val="center"/>
        <w:rPr>
          <w:rFonts w:ascii="宋体" w:hAnsi="宋体"/>
        </w:rPr>
      </w:pPr>
      <w:r>
        <w:rPr>
          <w:rFonts w:ascii="宋体" w:hAnsi="宋体"/>
        </w:rPr>
        <w:br w:type="page"/>
      </w:r>
      <w:bookmarkStart w:id="23" w:name="_Toc103003347"/>
      <w:r>
        <w:rPr>
          <w:rFonts w:ascii="宋体" w:hAnsi="宋体"/>
        </w:rPr>
        <w:t>第五部分  相关服务机构</w:t>
      </w:r>
      <w:bookmarkEnd w:id="23"/>
    </w:p>
    <w:p>
      <w:pPr>
        <w:pStyle w:val="21"/>
        <w:ind w:firstLine="480" w:firstLineChars="0"/>
        <w:rPr>
          <w:sz w:val="24"/>
        </w:rPr>
      </w:pPr>
    </w:p>
    <w:p>
      <w:pPr>
        <w:pStyle w:val="21"/>
        <w:adjustRightInd w:val="0"/>
        <w:snapToGrid w:val="0"/>
        <w:ind w:firstLine="480"/>
        <w:rPr>
          <w:sz w:val="24"/>
        </w:rPr>
      </w:pPr>
      <w:r>
        <w:rPr>
          <w:rFonts w:hint="eastAsia"/>
          <w:sz w:val="24"/>
        </w:rPr>
        <w:t>一、</w:t>
      </w:r>
      <w:r>
        <w:rPr>
          <w:sz w:val="24"/>
        </w:rPr>
        <w:t>基金份额</w:t>
      </w:r>
      <w:r>
        <w:rPr>
          <w:rFonts w:hint="eastAsia"/>
          <w:sz w:val="24"/>
        </w:rPr>
        <w:t>销售</w:t>
      </w:r>
      <w:r>
        <w:rPr>
          <w:sz w:val="24"/>
        </w:rPr>
        <w:t>机构</w:t>
      </w:r>
    </w:p>
    <w:p>
      <w:pPr>
        <w:pStyle w:val="21"/>
        <w:adjustRightInd w:val="0"/>
        <w:snapToGrid w:val="0"/>
        <w:ind w:firstLine="480"/>
        <w:rPr>
          <w:sz w:val="24"/>
        </w:rPr>
      </w:pPr>
      <w:r>
        <w:rPr>
          <w:rFonts w:hint="eastAsia"/>
          <w:sz w:val="24"/>
        </w:rPr>
        <w:t>1、直销机构</w:t>
      </w:r>
    </w:p>
    <w:p>
      <w:pPr>
        <w:spacing w:line="360" w:lineRule="auto"/>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（1）银华基金管理股份有限公司北京直销中心</w:t>
      </w:r>
    </w:p>
    <w:tbl>
      <w:tblPr>
        <w:tblStyle w:val="35"/>
        <w:tblW w:w="874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2505"/>
        <w:gridCol w:w="1117"/>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24"/>
              </w:rPr>
            </w:pPr>
            <w:r>
              <w:rPr>
                <w:rFonts w:hint="eastAsia" w:ascii="宋体" w:hAnsi="宋体"/>
                <w:sz w:val="24"/>
              </w:rPr>
              <w:t>地址</w:t>
            </w:r>
          </w:p>
        </w:tc>
        <w:tc>
          <w:tcPr>
            <w:tcW w:w="6862"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24"/>
              </w:rPr>
            </w:pPr>
            <w:r>
              <w:rPr>
                <w:rFonts w:hint="eastAsia" w:ascii="宋体" w:hAnsi="宋体"/>
                <w:sz w:val="24"/>
              </w:rPr>
              <w:t>北京市东城区东长安街1号东方广场东方经贸城C2办公楼</w:t>
            </w:r>
            <w:r>
              <w:rPr>
                <w:rFonts w:hint="eastAsia" w:ascii="宋体" w:hAnsi="宋体"/>
                <w:sz w:val="24"/>
                <w:lang w:val="en-US" w:eastAsia="zh-CN"/>
              </w:rPr>
              <w:t>3</w:t>
            </w:r>
            <w:r>
              <w:rPr>
                <w:rFonts w:hint="eastAsia" w:ascii="宋体" w:hAnsi="宋体"/>
                <w:sz w:val="24"/>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83" w:type="dxa"/>
            <w:vAlign w:val="center"/>
          </w:tcPr>
          <w:p>
            <w:pPr>
              <w:widowControl/>
              <w:spacing w:line="360" w:lineRule="auto"/>
              <w:jc w:val="left"/>
              <w:rPr>
                <w:rFonts w:ascii="宋体" w:hAnsi="宋体"/>
                <w:sz w:val="24"/>
              </w:rPr>
            </w:pPr>
            <w:r>
              <w:rPr>
                <w:rFonts w:hint="eastAsia" w:ascii="宋体" w:hAnsi="宋体"/>
                <w:sz w:val="24"/>
              </w:rPr>
              <w:t>电话</w:t>
            </w:r>
          </w:p>
        </w:tc>
        <w:tc>
          <w:tcPr>
            <w:tcW w:w="2505" w:type="dxa"/>
            <w:vAlign w:val="center"/>
          </w:tcPr>
          <w:p>
            <w:pPr>
              <w:widowControl/>
              <w:spacing w:line="360" w:lineRule="auto"/>
              <w:jc w:val="left"/>
              <w:rPr>
                <w:rFonts w:ascii="宋体" w:hAnsi="宋体"/>
                <w:sz w:val="24"/>
              </w:rPr>
            </w:pPr>
            <w:r>
              <w:rPr>
                <w:rFonts w:hint="eastAsia" w:ascii="宋体" w:hAnsi="宋体"/>
                <w:sz w:val="24"/>
              </w:rPr>
              <w:t>010-58162950</w:t>
            </w:r>
          </w:p>
        </w:tc>
        <w:tc>
          <w:tcPr>
            <w:tcW w:w="1117" w:type="dxa"/>
            <w:vAlign w:val="center"/>
          </w:tcPr>
          <w:p>
            <w:pPr>
              <w:widowControl/>
              <w:spacing w:line="360" w:lineRule="auto"/>
              <w:jc w:val="left"/>
              <w:rPr>
                <w:rFonts w:ascii="宋体" w:hAnsi="宋体"/>
                <w:sz w:val="24"/>
              </w:rPr>
            </w:pPr>
            <w:r>
              <w:rPr>
                <w:rFonts w:hint="eastAsia" w:ascii="宋体" w:hAnsi="宋体"/>
                <w:sz w:val="24"/>
              </w:rPr>
              <w:t>传真</w:t>
            </w:r>
          </w:p>
        </w:tc>
        <w:tc>
          <w:tcPr>
            <w:tcW w:w="3239" w:type="dxa"/>
            <w:vAlign w:val="center"/>
          </w:tcPr>
          <w:p>
            <w:pPr>
              <w:widowControl/>
              <w:spacing w:line="360" w:lineRule="auto"/>
              <w:jc w:val="left"/>
              <w:rPr>
                <w:rFonts w:ascii="宋体" w:hAnsi="宋体"/>
                <w:sz w:val="24"/>
              </w:rPr>
            </w:pPr>
            <w:r>
              <w:rPr>
                <w:rFonts w:hint="eastAsia" w:ascii="宋体" w:hAnsi="宋体"/>
                <w:sz w:val="24"/>
              </w:rPr>
              <w:t>010-58162951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83" w:type="dxa"/>
            <w:vAlign w:val="center"/>
          </w:tcPr>
          <w:p>
            <w:pPr>
              <w:widowControl/>
              <w:spacing w:line="360" w:lineRule="auto"/>
              <w:jc w:val="left"/>
              <w:rPr>
                <w:rFonts w:ascii="宋体" w:hAnsi="宋体"/>
                <w:sz w:val="24"/>
              </w:rPr>
            </w:pPr>
            <w:r>
              <w:rPr>
                <w:rFonts w:hint="eastAsia" w:ascii="宋体" w:hAnsi="宋体"/>
                <w:sz w:val="24"/>
              </w:rPr>
              <w:t>联系人</w:t>
            </w:r>
          </w:p>
        </w:tc>
        <w:tc>
          <w:tcPr>
            <w:tcW w:w="6862" w:type="dxa"/>
            <w:gridSpan w:val="3"/>
            <w:vAlign w:val="center"/>
          </w:tcPr>
          <w:p>
            <w:pPr>
              <w:widowControl/>
              <w:spacing w:line="360" w:lineRule="auto"/>
              <w:jc w:val="left"/>
              <w:rPr>
                <w:rFonts w:ascii="宋体" w:hAnsi="宋体"/>
                <w:sz w:val="24"/>
              </w:rPr>
            </w:pPr>
            <w:r>
              <w:rPr>
                <w:rFonts w:hint="eastAsia" w:ascii="宋体" w:hAnsi="宋体"/>
                <w:sz w:val="24"/>
              </w:rPr>
              <w:t>展璐</w:t>
            </w:r>
          </w:p>
        </w:tc>
      </w:tr>
    </w:tbl>
    <w:p>
      <w:pPr>
        <w:spacing w:line="360" w:lineRule="auto"/>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（2）银华基金管理股份有限公司网上直销交易系统</w:t>
      </w:r>
    </w:p>
    <w:tbl>
      <w:tblPr>
        <w:tblStyle w:val="35"/>
        <w:tblW w:w="87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892"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sz w:val="24"/>
              </w:rPr>
            </w:pPr>
            <w:r>
              <w:rPr>
                <w:rFonts w:hint="eastAsia" w:ascii="宋体" w:hAnsi="宋体"/>
                <w:sz w:val="24"/>
              </w:rPr>
              <w:t>网上交易网址</w:t>
            </w:r>
          </w:p>
        </w:tc>
        <w:tc>
          <w:tcPr>
            <w:tcW w:w="6893"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sz w:val="24"/>
              </w:rPr>
            </w:pPr>
            <w:r>
              <w:rPr>
                <w:rFonts w:hint="eastAsia" w:ascii="宋体" w:hAnsi="宋体"/>
                <w:sz w:val="24"/>
              </w:rPr>
              <w:t>https://trade.yhfund.com.cn/yhxntrade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892"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sz w:val="24"/>
              </w:rPr>
            </w:pPr>
            <w:r>
              <w:rPr>
                <w:rFonts w:hint="eastAsia" w:ascii="宋体" w:hAnsi="宋体"/>
                <w:sz w:val="24"/>
              </w:rPr>
              <w:t>移动端站点</w:t>
            </w:r>
          </w:p>
        </w:tc>
        <w:tc>
          <w:tcPr>
            <w:tcW w:w="6893"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sz w:val="24"/>
              </w:rPr>
            </w:pPr>
            <w:r>
              <w:rPr>
                <w:rFonts w:hint="eastAsia" w:ascii="宋体" w:hAnsi="宋体"/>
                <w:sz w:val="24"/>
              </w:rPr>
              <w:t>请到基金管理</w:t>
            </w:r>
            <w:r>
              <w:rPr>
                <w:rFonts w:ascii="宋体" w:hAnsi="宋体"/>
                <w:sz w:val="24"/>
              </w:rPr>
              <w:t>人</w:t>
            </w:r>
            <w:r>
              <w:rPr>
                <w:rFonts w:hint="eastAsia" w:ascii="宋体" w:hAnsi="宋体"/>
                <w:sz w:val="24"/>
              </w:rPr>
              <w:t>官方网站或各大移动应用市场下载“银华生利宝”手机</w:t>
            </w:r>
            <w:r>
              <w:rPr>
                <w:rFonts w:ascii="宋体" w:hAnsi="宋体"/>
                <w:sz w:val="24"/>
              </w:rPr>
              <w:t>APP</w:t>
            </w:r>
            <w:r>
              <w:rPr>
                <w:rFonts w:hint="eastAsia" w:ascii="宋体" w:hAnsi="宋体"/>
                <w:sz w:val="24"/>
              </w:rPr>
              <w:t>或关注“银华基金”官方微信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892"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sz w:val="24"/>
              </w:rPr>
            </w:pPr>
            <w:r>
              <w:rPr>
                <w:rFonts w:hint="eastAsia" w:ascii="宋体" w:hAnsi="宋体"/>
                <w:sz w:val="24"/>
              </w:rPr>
              <w:t>客户服务电话</w:t>
            </w:r>
          </w:p>
        </w:tc>
        <w:tc>
          <w:tcPr>
            <w:tcW w:w="6893"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sz w:val="24"/>
              </w:rPr>
            </w:pPr>
            <w:r>
              <w:rPr>
                <w:rFonts w:ascii="宋体" w:hAnsi="宋体"/>
                <w:sz w:val="24"/>
              </w:rPr>
              <w:t>010-85186558</w:t>
            </w:r>
            <w:r>
              <w:rPr>
                <w:rFonts w:hint="eastAsia" w:ascii="宋体" w:hAnsi="宋体"/>
                <w:sz w:val="24"/>
              </w:rPr>
              <w:t>，</w:t>
            </w:r>
            <w:r>
              <w:rPr>
                <w:rFonts w:ascii="宋体" w:hAnsi="宋体"/>
                <w:sz w:val="24"/>
              </w:rPr>
              <w:t>4006783333</w:t>
            </w:r>
          </w:p>
        </w:tc>
      </w:tr>
    </w:tbl>
    <w:p>
      <w:pPr>
        <w:pStyle w:val="21"/>
        <w:adjustRightInd w:val="0"/>
        <w:snapToGrid w:val="0"/>
        <w:spacing w:before="156" w:beforeLines="50"/>
        <w:ind w:firstLine="480"/>
        <w:rPr>
          <w:sz w:val="24"/>
        </w:rPr>
      </w:pPr>
      <w:r>
        <w:rPr>
          <w:rFonts w:hint="eastAsia"/>
          <w:sz w:val="24"/>
        </w:rPr>
        <w:t>投资人可以通过基金管理人网上直销交易系统办理本基金的开户和认购手续，具体交易细则请参阅基金管理人网站公告。</w:t>
      </w:r>
    </w:p>
    <w:p>
      <w:pPr>
        <w:pStyle w:val="21"/>
        <w:ind w:firstLine="480"/>
        <w:jc w:val="left"/>
        <w:rPr>
          <w:rFonts w:cs="宋体"/>
          <w:color w:val="000000"/>
          <w:kern w:val="0"/>
          <w:sz w:val="24"/>
        </w:rPr>
      </w:pPr>
      <w:r>
        <w:rPr>
          <w:rFonts w:hint="eastAsia"/>
          <w:sz w:val="24"/>
        </w:rPr>
        <w:t>2、其他销售</w:t>
      </w:r>
      <w:r>
        <w:rPr>
          <w:sz w:val="24"/>
        </w:rPr>
        <w:t>机构</w:t>
      </w:r>
      <w:r>
        <w:rPr>
          <w:rFonts w:hint="eastAsia" w:cs="宋体"/>
          <w:color w:val="000000"/>
          <w:kern w:val="0"/>
          <w:sz w:val="24"/>
        </w:rPr>
        <w:t>（以下排名不分先后）</w:t>
      </w:r>
      <w:bookmarkStart w:id="24" w:name="_Toc265243015"/>
      <w:bookmarkStart w:id="25" w:name="_Toc265581178"/>
    </w:p>
    <w:p>
      <w:pPr>
        <w:numPr>
          <w:ilvl w:val="0"/>
          <w:numId w:val="3"/>
        </w:numPr>
        <w:autoSpaceDE w:val="0"/>
        <w:autoSpaceDN w:val="0"/>
        <w:adjustRightIn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蚂蚁（杭州）基金销售有限公司</w:t>
      </w:r>
    </w:p>
    <w:tbl>
      <w:tblPr>
        <w:tblStyle w:val="35"/>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68"/>
        <w:gridCol w:w="1134"/>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办公地址</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sz w:val="24"/>
                <w:szCs w:val="24"/>
                <w:highlight w:val="none"/>
                <w:lang w:val="zh-CN"/>
              </w:rPr>
            </w:pPr>
            <w:r>
              <w:rPr>
                <w:rFonts w:hint="eastAsia" w:ascii="宋体" w:hAnsi="宋体" w:eastAsia="宋体" w:cs="宋体"/>
                <w:kern w:val="0"/>
                <w:sz w:val="24"/>
                <w:szCs w:val="24"/>
                <w:highlight w:val="none"/>
              </w:rPr>
              <w:t>浙江省杭州市西湖区西溪路556号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联系人</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韩爱彬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客服电话</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sz w:val="24"/>
                <w:szCs w:val="24"/>
                <w:highlight w:val="none"/>
                <w:lang w:val="zh-CN"/>
              </w:rPr>
            </w:pPr>
            <w:r>
              <w:rPr>
                <w:rFonts w:hint="eastAsia" w:ascii="宋体" w:hAnsi="宋体" w:eastAsia="宋体" w:cs="宋体"/>
                <w:kern w:val="0"/>
                <w:sz w:val="24"/>
                <w:szCs w:val="24"/>
                <w:highlight w:val="none"/>
              </w:rPr>
              <w:t>95188-8</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网址</w:t>
            </w:r>
          </w:p>
        </w:tc>
        <w:tc>
          <w:tcPr>
            <w:tcW w:w="32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www.fund123.cn</w:t>
            </w:r>
          </w:p>
        </w:tc>
      </w:tr>
    </w:tbl>
    <w:p>
      <w:pPr>
        <w:numPr>
          <w:ilvl w:val="0"/>
          <w:numId w:val="3"/>
        </w:numPr>
        <w:autoSpaceDE w:val="0"/>
        <w:autoSpaceDN w:val="0"/>
        <w:adjustRightIn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上海好买基金销售有限公司</w:t>
      </w:r>
    </w:p>
    <w:tbl>
      <w:tblPr>
        <w:tblStyle w:val="35"/>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68"/>
        <w:gridCol w:w="1134"/>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办公地址</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上海市浦东新区浦东南路1118号鄂尔多斯国际大厦9楼（200120）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联系人</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罗梦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客服电话</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sz w:val="24"/>
                <w:szCs w:val="24"/>
                <w:highlight w:val="none"/>
                <w:lang w:val="zh-CN"/>
              </w:rPr>
            </w:pPr>
            <w:r>
              <w:rPr>
                <w:rFonts w:hint="eastAsia" w:ascii="宋体" w:hAnsi="宋体" w:eastAsia="宋体" w:cs="宋体"/>
                <w:kern w:val="0"/>
                <w:sz w:val="24"/>
                <w:szCs w:val="24"/>
                <w:highlight w:val="none"/>
              </w:rPr>
              <w:t>400-700-9665</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网址</w:t>
            </w:r>
          </w:p>
        </w:tc>
        <w:tc>
          <w:tcPr>
            <w:tcW w:w="32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www.ehowbuy.com</w:t>
            </w:r>
          </w:p>
        </w:tc>
      </w:tr>
    </w:tbl>
    <w:p>
      <w:pPr>
        <w:numPr>
          <w:ilvl w:val="0"/>
          <w:numId w:val="3"/>
        </w:numPr>
        <w:autoSpaceDE w:val="0"/>
        <w:autoSpaceDN w:val="0"/>
        <w:adjustRightIn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上海天天基金销售有限公司</w:t>
      </w:r>
    </w:p>
    <w:tbl>
      <w:tblPr>
        <w:tblStyle w:val="3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68"/>
        <w:gridCol w:w="113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办公地址</w:t>
            </w:r>
          </w:p>
        </w:tc>
        <w:tc>
          <w:tcPr>
            <w:tcW w:w="68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上海市徐汇区宛平南路88号金座东方财富大厦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联系人</w:t>
            </w:r>
          </w:p>
        </w:tc>
        <w:tc>
          <w:tcPr>
            <w:tcW w:w="680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马茜玲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客服电话</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400-1818-188</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网址</w:t>
            </w:r>
          </w:p>
        </w:tc>
        <w:tc>
          <w:tcPr>
            <w:tcW w:w="3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www.1234567.com.cn</w:t>
            </w:r>
          </w:p>
        </w:tc>
      </w:tr>
    </w:tbl>
    <w:p>
      <w:pPr>
        <w:numPr>
          <w:ilvl w:val="0"/>
          <w:numId w:val="3"/>
        </w:numPr>
        <w:autoSpaceDE w:val="0"/>
        <w:autoSpaceDN w:val="0"/>
        <w:adjustRightIn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珠海盈米基金销售有限公司</w:t>
      </w:r>
    </w:p>
    <w:tbl>
      <w:tblPr>
        <w:tblStyle w:val="35"/>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2410"/>
        <w:gridCol w:w="992"/>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办公地址</w:t>
            </w:r>
          </w:p>
        </w:tc>
        <w:tc>
          <w:tcPr>
            <w:tcW w:w="6804"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广州市海珠区阅江中路688号保利国际广场北塔33楼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联系人</w:t>
            </w:r>
          </w:p>
        </w:tc>
        <w:tc>
          <w:tcPr>
            <w:tcW w:w="6804"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lang w:val="en-US" w:eastAsia="zh-CN"/>
              </w:rPr>
            </w:pPr>
            <w:r>
              <w:rPr>
                <w:rFonts w:hint="eastAsia" w:ascii="宋体" w:hAnsi="宋体" w:eastAsia="宋体" w:cs="宋体"/>
                <w:bCs/>
                <w:kern w:val="0"/>
                <w:sz w:val="24"/>
                <w:szCs w:val="24"/>
                <w:highlight w:val="none"/>
                <w:lang w:val="en-US" w:eastAsia="zh-CN"/>
              </w:rPr>
              <w:t>邱湘湘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客服电话</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020-89629066</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网址</w:t>
            </w:r>
          </w:p>
        </w:tc>
        <w:tc>
          <w:tcPr>
            <w:tcW w:w="34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www.yingmi.cn</w:t>
            </w:r>
          </w:p>
        </w:tc>
      </w:tr>
    </w:tbl>
    <w:p>
      <w:pPr>
        <w:numPr>
          <w:ilvl w:val="0"/>
          <w:numId w:val="3"/>
        </w:numPr>
        <w:autoSpaceDE w:val="0"/>
        <w:autoSpaceDN w:val="0"/>
        <w:adjustRightIn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京东肯特瑞基金销售有限公司</w:t>
      </w:r>
    </w:p>
    <w:tbl>
      <w:tblPr>
        <w:tblStyle w:val="3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410"/>
        <w:gridCol w:w="99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办公地址</w:t>
            </w:r>
          </w:p>
        </w:tc>
        <w:tc>
          <w:tcPr>
            <w:tcW w:w="68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北京市通州区亦庄经济开发区科创十一街18号院京东集团总部A座15层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联系人</w:t>
            </w:r>
          </w:p>
        </w:tc>
        <w:tc>
          <w:tcPr>
            <w:tcW w:w="68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lang w:val="en-US" w:eastAsia="zh-CN"/>
              </w:rPr>
            </w:pPr>
            <w:r>
              <w:rPr>
                <w:rFonts w:hint="eastAsia" w:ascii="宋体" w:hAnsi="宋体" w:eastAsia="宋体" w:cs="宋体"/>
                <w:bCs/>
                <w:kern w:val="0"/>
                <w:sz w:val="24"/>
                <w:szCs w:val="24"/>
                <w:highlight w:val="none"/>
                <w:lang w:val="en-US" w:eastAsia="zh-CN"/>
              </w:rPr>
              <w:t>李丹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客服电话</w:t>
            </w:r>
          </w:p>
        </w:tc>
        <w:tc>
          <w:tcPr>
            <w:tcW w:w="2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95118</w:t>
            </w: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网址</w:t>
            </w:r>
          </w:p>
        </w:tc>
        <w:tc>
          <w:tcPr>
            <w:tcW w:w="3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fund.jd.com</w:t>
            </w:r>
          </w:p>
        </w:tc>
      </w:tr>
    </w:tbl>
    <w:p>
      <w:pPr>
        <w:numPr>
          <w:ilvl w:val="0"/>
          <w:numId w:val="3"/>
        </w:numPr>
        <w:autoSpaceDE w:val="0"/>
        <w:autoSpaceDN w:val="0"/>
        <w:adjustRightIn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南京苏宁基金销售有限公司</w:t>
      </w:r>
    </w:p>
    <w:tbl>
      <w:tblPr>
        <w:tblStyle w:val="3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410"/>
        <w:gridCol w:w="99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办公地址</w:t>
            </w:r>
          </w:p>
        </w:tc>
        <w:tc>
          <w:tcPr>
            <w:tcW w:w="68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南京市玄武区徐庄软件园苏宁大道1号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联系人</w:t>
            </w:r>
          </w:p>
        </w:tc>
        <w:tc>
          <w:tcPr>
            <w:tcW w:w="68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王旋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客服电话</w:t>
            </w:r>
          </w:p>
        </w:tc>
        <w:tc>
          <w:tcPr>
            <w:tcW w:w="2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95177</w:t>
            </w: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网址</w:t>
            </w:r>
          </w:p>
        </w:tc>
        <w:tc>
          <w:tcPr>
            <w:tcW w:w="3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www.suning.com</w:t>
            </w:r>
          </w:p>
        </w:tc>
      </w:tr>
    </w:tbl>
    <w:p>
      <w:pPr>
        <w:numPr>
          <w:ilvl w:val="0"/>
          <w:numId w:val="3"/>
        </w:numPr>
        <w:autoSpaceDE w:val="0"/>
        <w:autoSpaceDN w:val="0"/>
        <w:adjustRightIn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北京雪球基金销售有限公司</w:t>
      </w:r>
    </w:p>
    <w:tbl>
      <w:tblPr>
        <w:tblStyle w:val="3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835"/>
        <w:gridCol w:w="851"/>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办公地址</w:t>
            </w:r>
          </w:p>
        </w:tc>
        <w:tc>
          <w:tcPr>
            <w:tcW w:w="680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北京市朝阳区创远路34号院6号楼15层1501室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联系人</w:t>
            </w:r>
          </w:p>
        </w:tc>
        <w:tc>
          <w:tcPr>
            <w:tcW w:w="680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丁晗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客服电话</w:t>
            </w:r>
          </w:p>
        </w:tc>
        <w:tc>
          <w:tcPr>
            <w:tcW w:w="283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400-159-9288</w:t>
            </w: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网址</w:t>
            </w:r>
          </w:p>
        </w:tc>
        <w:tc>
          <w:tcPr>
            <w:tcW w:w="3118"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www.danjuanapp.com</w:t>
            </w:r>
          </w:p>
        </w:tc>
      </w:tr>
    </w:tbl>
    <w:p>
      <w:pPr>
        <w:numPr>
          <w:ilvl w:val="0"/>
          <w:numId w:val="3"/>
        </w:numPr>
        <w:autoSpaceDE w:val="0"/>
        <w:autoSpaceDN w:val="0"/>
        <w:adjustRightIn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宜信普泽（北京）基金销售有限公司</w:t>
      </w:r>
    </w:p>
    <w:tbl>
      <w:tblPr>
        <w:tblStyle w:val="3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834"/>
        <w:gridCol w:w="850"/>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84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办公地址</w:t>
            </w:r>
          </w:p>
        </w:tc>
        <w:tc>
          <w:tcPr>
            <w:tcW w:w="680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北京市朝阳区光华路7号楼20层20A1、20A2单元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联系人</w:t>
            </w:r>
          </w:p>
        </w:tc>
        <w:tc>
          <w:tcPr>
            <w:tcW w:w="680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魏晨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客服电话</w:t>
            </w:r>
          </w:p>
        </w:tc>
        <w:tc>
          <w:tcPr>
            <w:tcW w:w="283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400-6099-200</w:t>
            </w: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网址</w:t>
            </w:r>
          </w:p>
        </w:tc>
        <w:tc>
          <w:tcPr>
            <w:tcW w:w="312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www.yixinfund.com</w:t>
            </w:r>
          </w:p>
        </w:tc>
      </w:tr>
    </w:tbl>
    <w:p>
      <w:pPr>
        <w:numPr>
          <w:ilvl w:val="0"/>
          <w:numId w:val="3"/>
        </w:numPr>
        <w:autoSpaceDE w:val="0"/>
        <w:autoSpaceDN w:val="0"/>
        <w:adjustRightIn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浙江同花顺基金销售有限公司</w:t>
      </w:r>
    </w:p>
    <w:tbl>
      <w:tblPr>
        <w:tblStyle w:val="35"/>
        <w:tblW w:w="865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443"/>
        <w:gridCol w:w="1222"/>
        <w:gridCol w:w="3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办公地址</w:t>
            </w:r>
          </w:p>
        </w:tc>
        <w:tc>
          <w:tcPr>
            <w:tcW w:w="671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杭州市余杭区五常街道同顺街18号 同花顺大楼4层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9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联系人</w:t>
            </w:r>
          </w:p>
        </w:tc>
        <w:tc>
          <w:tcPr>
            <w:tcW w:w="671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董一锋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客服电话</w:t>
            </w:r>
          </w:p>
        </w:tc>
        <w:tc>
          <w:tcPr>
            <w:tcW w:w="24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4008-773-772</w:t>
            </w:r>
          </w:p>
        </w:tc>
        <w:tc>
          <w:tcPr>
            <w:tcW w:w="12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网址</w:t>
            </w:r>
          </w:p>
        </w:tc>
        <w:tc>
          <w:tcPr>
            <w:tcW w:w="3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www.5ifund.com</w:t>
            </w:r>
          </w:p>
        </w:tc>
      </w:tr>
    </w:tbl>
    <w:p>
      <w:pPr>
        <w:numPr>
          <w:ilvl w:val="0"/>
          <w:numId w:val="3"/>
        </w:numPr>
        <w:autoSpaceDE w:val="0"/>
        <w:autoSpaceDN w:val="0"/>
        <w:adjustRightIn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北京度小满基金销售有限公司</w:t>
      </w:r>
    </w:p>
    <w:tbl>
      <w:tblPr>
        <w:tblStyle w:val="3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834"/>
        <w:gridCol w:w="850"/>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84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办公地址</w:t>
            </w:r>
          </w:p>
        </w:tc>
        <w:tc>
          <w:tcPr>
            <w:tcW w:w="680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北京市海淀区西北旺东路10号院西区4号楼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联系人</w:t>
            </w:r>
          </w:p>
        </w:tc>
        <w:tc>
          <w:tcPr>
            <w:tcW w:w="680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lang w:val="en-US" w:eastAsia="zh-CN"/>
              </w:rPr>
            </w:pPr>
            <w:r>
              <w:rPr>
                <w:rFonts w:hint="eastAsia" w:ascii="宋体" w:hAnsi="宋体" w:eastAsia="宋体" w:cs="宋体"/>
                <w:bCs/>
                <w:kern w:val="0"/>
                <w:sz w:val="24"/>
                <w:szCs w:val="24"/>
                <w:highlight w:val="none"/>
                <w:lang w:val="en-US" w:eastAsia="zh-CN"/>
              </w:rPr>
              <w:t>林天赐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客服电话</w:t>
            </w:r>
          </w:p>
        </w:tc>
        <w:tc>
          <w:tcPr>
            <w:tcW w:w="283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95055-4</w:t>
            </w: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网址</w:t>
            </w:r>
          </w:p>
        </w:tc>
        <w:tc>
          <w:tcPr>
            <w:tcW w:w="312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www.baiyingfund.com</w:t>
            </w:r>
          </w:p>
        </w:tc>
      </w:tr>
    </w:tbl>
    <w:p>
      <w:pPr>
        <w:numPr>
          <w:ilvl w:val="0"/>
          <w:numId w:val="3"/>
        </w:numPr>
        <w:autoSpaceDE w:val="0"/>
        <w:autoSpaceDN w:val="0"/>
        <w:adjustRightIn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上海万得基金销售有限公司</w:t>
      </w:r>
    </w:p>
    <w:tbl>
      <w:tblPr>
        <w:tblStyle w:val="35"/>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835"/>
        <w:gridCol w:w="851"/>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84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办公地址</w:t>
            </w:r>
          </w:p>
        </w:tc>
        <w:tc>
          <w:tcPr>
            <w:tcW w:w="680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上海自由贸易试验区福山路33号11楼B座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联系人</w:t>
            </w:r>
          </w:p>
        </w:tc>
        <w:tc>
          <w:tcPr>
            <w:tcW w:w="680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徐亚丹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客服电话</w:t>
            </w:r>
          </w:p>
        </w:tc>
        <w:tc>
          <w:tcPr>
            <w:tcW w:w="283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400-821-0203</w:t>
            </w: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网址</w:t>
            </w:r>
          </w:p>
        </w:tc>
        <w:tc>
          <w:tcPr>
            <w:tcW w:w="3118"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www.520fund.com.cn</w:t>
            </w:r>
          </w:p>
        </w:tc>
      </w:tr>
    </w:tbl>
    <w:p>
      <w:pPr>
        <w:numPr>
          <w:ilvl w:val="0"/>
          <w:numId w:val="3"/>
        </w:numPr>
        <w:autoSpaceDE w:val="0"/>
        <w:autoSpaceDN w:val="0"/>
        <w:adjustRightIn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腾安基金销售（深圳）有限公司</w:t>
      </w:r>
    </w:p>
    <w:tbl>
      <w:tblPr>
        <w:tblStyle w:val="3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835"/>
        <w:gridCol w:w="851"/>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办公地址</w:t>
            </w:r>
          </w:p>
        </w:tc>
        <w:tc>
          <w:tcPr>
            <w:tcW w:w="68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深圳市南山区海天二路33号腾讯滨海大厦15层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联系人</w:t>
            </w:r>
          </w:p>
        </w:tc>
        <w:tc>
          <w:tcPr>
            <w:tcW w:w="68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lang w:val="en-US" w:eastAsia="zh-CN"/>
              </w:rPr>
            </w:pPr>
            <w:r>
              <w:rPr>
                <w:rFonts w:hint="eastAsia" w:ascii="宋体" w:hAnsi="宋体" w:eastAsia="宋体" w:cs="宋体"/>
                <w:bCs/>
                <w:kern w:val="0"/>
                <w:sz w:val="24"/>
                <w:szCs w:val="24"/>
                <w:highlight w:val="none"/>
                <w:lang w:val="en-US" w:eastAsia="zh-CN"/>
              </w:rPr>
              <w:t>胡世铭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客服电话</w:t>
            </w:r>
          </w:p>
        </w:tc>
        <w:tc>
          <w:tcPr>
            <w:tcW w:w="2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95017（转1转8）</w:t>
            </w: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网址</w:t>
            </w:r>
          </w:p>
        </w:tc>
        <w:tc>
          <w:tcPr>
            <w:tcW w:w="31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"http://www.tenganxinxi.com" </w:instrText>
            </w:r>
            <w:r>
              <w:rPr>
                <w:rFonts w:hint="eastAsia" w:ascii="宋体" w:hAnsi="宋体" w:eastAsia="宋体" w:cs="宋体"/>
                <w:sz w:val="24"/>
                <w:szCs w:val="24"/>
                <w:highlight w:val="none"/>
              </w:rPr>
              <w:fldChar w:fldCharType="separate"/>
            </w:r>
            <w:r>
              <w:rPr>
                <w:rFonts w:hint="eastAsia" w:ascii="宋体" w:hAnsi="宋体" w:eastAsia="宋体" w:cs="宋体"/>
                <w:bCs/>
                <w:kern w:val="0"/>
                <w:sz w:val="24"/>
                <w:szCs w:val="24"/>
                <w:highlight w:val="none"/>
              </w:rPr>
              <w:t>www.tenganxinxi.com</w:t>
            </w:r>
            <w:r>
              <w:rPr>
                <w:rFonts w:hint="eastAsia" w:ascii="宋体" w:hAnsi="宋体" w:eastAsia="宋体" w:cs="宋体"/>
                <w:bCs/>
                <w:kern w:val="0"/>
                <w:sz w:val="24"/>
                <w:szCs w:val="24"/>
                <w:highlight w:val="none"/>
              </w:rPr>
              <w:fldChar w:fldCharType="end"/>
            </w:r>
            <w:r>
              <w:rPr>
                <w:rFonts w:hint="eastAsia" w:ascii="宋体" w:hAnsi="宋体" w:eastAsia="宋体" w:cs="宋体"/>
                <w:bCs/>
                <w:kern w:val="0"/>
                <w:sz w:val="24"/>
                <w:szCs w:val="24"/>
                <w:highlight w:val="none"/>
              </w:rPr>
              <w:t>或www.txfund.com</w:t>
            </w:r>
          </w:p>
        </w:tc>
      </w:tr>
    </w:tbl>
    <w:p>
      <w:pPr>
        <w:numPr>
          <w:ilvl w:val="0"/>
          <w:numId w:val="3"/>
        </w:numPr>
        <w:autoSpaceDE w:val="0"/>
        <w:autoSpaceDN w:val="0"/>
        <w:adjustRightIn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和耕传承基金销售有限公司</w:t>
      </w:r>
    </w:p>
    <w:tbl>
      <w:tblPr>
        <w:tblStyle w:val="3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834"/>
        <w:gridCol w:w="850"/>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办公地址</w:t>
            </w:r>
          </w:p>
        </w:tc>
        <w:tc>
          <w:tcPr>
            <w:tcW w:w="680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河南自贸试验区郑州片区（郑东）东风南路东康宁街北6号楼5楼503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联系人</w:t>
            </w:r>
          </w:p>
        </w:tc>
        <w:tc>
          <w:tcPr>
            <w:tcW w:w="680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董亚芳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客服电话</w:t>
            </w:r>
          </w:p>
        </w:tc>
        <w:tc>
          <w:tcPr>
            <w:tcW w:w="283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400-0555-671</w:t>
            </w: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网址</w:t>
            </w:r>
          </w:p>
        </w:tc>
        <w:tc>
          <w:tcPr>
            <w:tcW w:w="312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www.hgccpb.com</w:t>
            </w:r>
          </w:p>
        </w:tc>
      </w:tr>
    </w:tbl>
    <w:p>
      <w:pPr>
        <w:numPr>
          <w:ilvl w:val="0"/>
          <w:numId w:val="3"/>
        </w:numPr>
        <w:autoSpaceDE w:val="0"/>
        <w:autoSpaceDN w:val="0"/>
        <w:adjustRightIn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北京新浪仓石基金销售有限公司</w:t>
      </w:r>
    </w:p>
    <w:tbl>
      <w:tblPr>
        <w:tblStyle w:val="3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834"/>
        <w:gridCol w:w="850"/>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办公地址</w:t>
            </w:r>
          </w:p>
        </w:tc>
        <w:tc>
          <w:tcPr>
            <w:tcW w:w="680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北京市海淀区西北旺东路10号院西区8号楼新浪总部大厦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联系人</w:t>
            </w:r>
          </w:p>
        </w:tc>
        <w:tc>
          <w:tcPr>
            <w:tcW w:w="680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lang w:val="en-US" w:eastAsia="zh-CN"/>
              </w:rPr>
            </w:pPr>
            <w:r>
              <w:rPr>
                <w:rFonts w:hint="eastAsia" w:ascii="宋体" w:hAnsi="宋体" w:eastAsia="宋体" w:cs="宋体"/>
                <w:bCs/>
                <w:kern w:val="0"/>
                <w:sz w:val="24"/>
                <w:szCs w:val="24"/>
                <w:highlight w:val="none"/>
                <w:lang w:val="en-US" w:eastAsia="zh-CN"/>
              </w:rPr>
              <w:t>王彤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客服电话</w:t>
            </w:r>
          </w:p>
        </w:tc>
        <w:tc>
          <w:tcPr>
            <w:tcW w:w="283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010-62675768</w:t>
            </w: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网址</w:t>
            </w:r>
          </w:p>
        </w:tc>
        <w:tc>
          <w:tcPr>
            <w:tcW w:w="312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"http://www.xincai.com/" \t "_blank" </w:instrText>
            </w:r>
            <w:r>
              <w:rPr>
                <w:rFonts w:hint="eastAsia" w:ascii="宋体" w:hAnsi="宋体" w:eastAsia="宋体" w:cs="宋体"/>
                <w:sz w:val="24"/>
                <w:szCs w:val="24"/>
                <w:highlight w:val="none"/>
              </w:rPr>
              <w:fldChar w:fldCharType="separate"/>
            </w:r>
            <w:r>
              <w:rPr>
                <w:rFonts w:hint="eastAsia" w:ascii="宋体" w:hAnsi="宋体" w:eastAsia="宋体" w:cs="宋体"/>
                <w:bCs/>
                <w:kern w:val="0"/>
                <w:sz w:val="24"/>
                <w:szCs w:val="24"/>
                <w:highlight w:val="none"/>
              </w:rPr>
              <w:t>www.xincai.com</w:t>
            </w:r>
            <w:r>
              <w:rPr>
                <w:rFonts w:hint="eastAsia" w:ascii="宋体" w:hAnsi="宋体" w:eastAsia="宋体" w:cs="宋体"/>
                <w:bCs/>
                <w:kern w:val="0"/>
                <w:sz w:val="24"/>
                <w:szCs w:val="24"/>
                <w:highlight w:val="none"/>
              </w:rPr>
              <w:fldChar w:fldCharType="end"/>
            </w:r>
          </w:p>
        </w:tc>
      </w:tr>
    </w:tbl>
    <w:p>
      <w:pPr>
        <w:numPr>
          <w:ilvl w:val="0"/>
          <w:numId w:val="3"/>
        </w:numPr>
        <w:autoSpaceDE w:val="0"/>
        <w:autoSpaceDN w:val="0"/>
        <w:adjustRightIn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通华财富（上海）基金销售有限公司</w:t>
      </w:r>
    </w:p>
    <w:tbl>
      <w:tblPr>
        <w:tblStyle w:val="3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835"/>
        <w:gridCol w:w="851"/>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办公地址</w:t>
            </w:r>
          </w:p>
        </w:tc>
        <w:tc>
          <w:tcPr>
            <w:tcW w:w="680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上海市浦东新区金沪路55号通华科技大厦10层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联系人</w:t>
            </w:r>
          </w:p>
        </w:tc>
        <w:tc>
          <w:tcPr>
            <w:tcW w:w="680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云澎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客服电话</w:t>
            </w:r>
          </w:p>
        </w:tc>
        <w:tc>
          <w:tcPr>
            <w:tcW w:w="283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400-101-9301</w:t>
            </w: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网址</w:t>
            </w:r>
          </w:p>
        </w:tc>
        <w:tc>
          <w:tcPr>
            <w:tcW w:w="3118"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sz w:val="24"/>
                <w:szCs w:val="24"/>
                <w:highlight w:val="none"/>
              </w:rPr>
            </w:pPr>
            <w:bookmarkStart w:id="26" w:name="OLE_LINK3"/>
            <w:bookmarkStart w:id="27" w:name="OLE_LINK4"/>
            <w:r>
              <w:rPr>
                <w:rFonts w:hint="eastAsia" w:ascii="宋体" w:hAnsi="宋体" w:eastAsia="宋体" w:cs="宋体"/>
                <w:bCs/>
                <w:sz w:val="24"/>
                <w:szCs w:val="24"/>
                <w:highlight w:val="none"/>
              </w:rPr>
              <w:t>www.tonghuafund.com</w:t>
            </w:r>
            <w:bookmarkEnd w:id="26"/>
            <w:bookmarkEnd w:id="27"/>
          </w:p>
        </w:tc>
      </w:tr>
    </w:tbl>
    <w:p>
      <w:pPr>
        <w:pStyle w:val="67"/>
        <w:numPr>
          <w:ilvl w:val="0"/>
          <w:numId w:val="0"/>
        </w:numPr>
        <w:autoSpaceDE w:val="0"/>
        <w:autoSpaceDN w:val="0"/>
        <w:adjustRightInd w:val="0"/>
        <w:spacing w:line="360" w:lineRule="auto"/>
        <w:ind w:leftChars="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w:t>
      </w:r>
      <w:r>
        <w:rPr>
          <w:rFonts w:hint="eastAsia" w:ascii="宋体" w:hAnsi="宋体" w:eastAsia="宋体" w:cs="宋体"/>
          <w:sz w:val="24"/>
          <w:szCs w:val="24"/>
          <w:highlight w:val="none"/>
          <w:lang w:eastAsia="zh-CN"/>
        </w:rPr>
        <w:t>）</w:t>
      </w:r>
      <w:r>
        <w:rPr>
          <w:rFonts w:hint="eastAsia" w:ascii="宋体" w:hAnsi="宋体" w:eastAsia="宋体" w:cs="宋体"/>
          <w:bCs/>
          <w:sz w:val="24"/>
          <w:szCs w:val="24"/>
          <w:highlight w:val="none"/>
          <w:lang w:val="en-US" w:eastAsia="zh-CN"/>
        </w:rPr>
        <w:t>玄元保险代理有限公司</w:t>
      </w:r>
    </w:p>
    <w:tbl>
      <w:tblPr>
        <w:tblStyle w:val="35"/>
        <w:tblW w:w="8699"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54"/>
        <w:gridCol w:w="2424"/>
        <w:gridCol w:w="757"/>
        <w:gridCol w:w="3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18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办公地址</w:t>
            </w:r>
          </w:p>
        </w:tc>
        <w:tc>
          <w:tcPr>
            <w:tcW w:w="6845"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bCs/>
                <w:sz w:val="24"/>
                <w:szCs w:val="24"/>
                <w:highlight w:val="none"/>
                <w:lang w:val="en-US" w:eastAsia="zh-CN"/>
              </w:rPr>
              <w:t>中国（上海）自由贸易试验区张杨路707号1105室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trPr>
        <w:tc>
          <w:tcPr>
            <w:tcW w:w="18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联系人</w:t>
            </w:r>
          </w:p>
        </w:tc>
        <w:tc>
          <w:tcPr>
            <w:tcW w:w="6845"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张苗苗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trPr>
        <w:tc>
          <w:tcPr>
            <w:tcW w:w="18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客服电话</w:t>
            </w:r>
          </w:p>
        </w:tc>
        <w:tc>
          <w:tcPr>
            <w:tcW w:w="24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400-080-8208</w:t>
            </w:r>
          </w:p>
        </w:tc>
        <w:tc>
          <w:tcPr>
            <w:tcW w:w="75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网址</w:t>
            </w:r>
          </w:p>
        </w:tc>
        <w:tc>
          <w:tcPr>
            <w:tcW w:w="366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https://www.licaimofang.cn/</w:t>
            </w:r>
          </w:p>
        </w:tc>
      </w:tr>
    </w:tbl>
    <w:p>
      <w:pPr>
        <w:autoSpaceDE w:val="0"/>
        <w:autoSpaceDN w:val="0"/>
        <w:adjustRightIn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17）</w:t>
      </w:r>
      <w:r>
        <w:rPr>
          <w:rFonts w:hint="eastAsia" w:ascii="宋体" w:hAnsi="宋体" w:eastAsia="宋体" w:cs="宋体"/>
          <w:bCs/>
          <w:sz w:val="24"/>
          <w:szCs w:val="24"/>
          <w:highlight w:val="none"/>
        </w:rPr>
        <w:t>上海挖财基金销售有限公司</w:t>
      </w:r>
    </w:p>
    <w:tbl>
      <w:tblPr>
        <w:tblStyle w:val="35"/>
        <w:tblW w:w="8637" w:type="dxa"/>
        <w:tblInd w:w="-107"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327"/>
        <w:gridCol w:w="1600"/>
        <w:gridCol w:w="660"/>
        <w:gridCol w:w="50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572" w:hRule="atLeast"/>
        </w:trPr>
        <w:tc>
          <w:tcPr>
            <w:tcW w:w="1327" w:type="dxa"/>
            <w:tcBorders>
              <w:top w:val="single" w:color="auto" w:sz="8" w:space="0"/>
              <w:left w:val="single" w:color="auto" w:sz="8" w:space="0"/>
              <w:bottom w:val="single" w:color="auto" w:sz="8" w:space="0"/>
              <w:right w:val="single" w:color="auto" w:sz="8" w:space="0"/>
            </w:tcBorders>
            <w:shd w:val="clear" w:color="auto" w:fill="auto"/>
            <w:vAlign w:val="center"/>
          </w:tcPr>
          <w:p>
            <w:pPr>
              <w:autoSpaceDE w:val="0"/>
              <w:autoSpaceDN w:val="0"/>
              <w:adjustRightIn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办公地址</w:t>
            </w:r>
          </w:p>
        </w:tc>
        <w:tc>
          <w:tcPr>
            <w:tcW w:w="7310"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autoSpaceDE w:val="0"/>
              <w:autoSpaceDN w:val="0"/>
              <w:adjustRightIn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中国(上海)自由贸易试验区杨高南路759号18层03单元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84" w:hRule="atLeast"/>
        </w:trPr>
        <w:tc>
          <w:tcPr>
            <w:tcW w:w="1327" w:type="dxa"/>
            <w:tcBorders>
              <w:top w:val="dotted" w:color="AAAAAA" w:sz="4" w:space="0"/>
              <w:left w:val="single" w:color="auto" w:sz="8" w:space="0"/>
              <w:bottom w:val="single" w:color="auto" w:sz="8" w:space="0"/>
              <w:right w:val="single" w:color="auto" w:sz="8" w:space="0"/>
            </w:tcBorders>
            <w:shd w:val="clear" w:color="auto" w:fill="auto"/>
            <w:vAlign w:val="center"/>
          </w:tcPr>
          <w:p>
            <w:pPr>
              <w:autoSpaceDE w:val="0"/>
              <w:autoSpaceDN w:val="0"/>
              <w:adjustRightIn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联系人</w:t>
            </w:r>
          </w:p>
        </w:tc>
        <w:tc>
          <w:tcPr>
            <w:tcW w:w="7310" w:type="dxa"/>
            <w:gridSpan w:val="3"/>
            <w:tcBorders>
              <w:top w:val="dotted" w:color="AAAAAA" w:sz="4" w:space="0"/>
              <w:left w:val="single" w:color="auto" w:sz="8" w:space="0"/>
              <w:bottom w:val="single" w:color="auto" w:sz="8" w:space="0"/>
              <w:right w:val="single" w:color="auto" w:sz="8" w:space="0"/>
            </w:tcBorders>
            <w:shd w:val="clear" w:color="auto" w:fill="auto"/>
            <w:vAlign w:val="center"/>
          </w:tcPr>
          <w:p>
            <w:pPr>
              <w:autoSpaceDE w:val="0"/>
              <w:autoSpaceDN w:val="0"/>
              <w:adjustRightIn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毛善波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2" w:hRule="atLeast"/>
        </w:trPr>
        <w:tc>
          <w:tcPr>
            <w:tcW w:w="1327" w:type="dxa"/>
            <w:tcBorders>
              <w:top w:val="dotted" w:color="AAAAAA" w:sz="4" w:space="0"/>
              <w:left w:val="single" w:color="auto" w:sz="8" w:space="0"/>
              <w:bottom w:val="single" w:color="auto" w:sz="8" w:space="0"/>
              <w:right w:val="single" w:color="auto" w:sz="8" w:space="0"/>
            </w:tcBorders>
            <w:shd w:val="clear" w:color="auto" w:fill="auto"/>
            <w:vAlign w:val="center"/>
          </w:tcPr>
          <w:p>
            <w:pPr>
              <w:autoSpaceDE w:val="0"/>
              <w:autoSpaceDN w:val="0"/>
              <w:adjustRightIn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客服电话</w:t>
            </w:r>
          </w:p>
        </w:tc>
        <w:tc>
          <w:tcPr>
            <w:tcW w:w="1600" w:type="dxa"/>
            <w:tcBorders>
              <w:top w:val="dotted" w:color="AAAAAA" w:sz="4" w:space="0"/>
              <w:left w:val="single" w:color="auto" w:sz="8" w:space="0"/>
              <w:bottom w:val="single" w:color="auto" w:sz="8" w:space="0"/>
              <w:right w:val="single" w:color="auto" w:sz="8" w:space="0"/>
            </w:tcBorders>
            <w:shd w:val="clear" w:color="auto" w:fill="auto"/>
            <w:vAlign w:val="center"/>
          </w:tcPr>
          <w:p>
            <w:pPr>
              <w:autoSpaceDE w:val="0"/>
              <w:autoSpaceDN w:val="0"/>
              <w:adjustRightIn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400-711-8718</w:t>
            </w:r>
          </w:p>
        </w:tc>
        <w:tc>
          <w:tcPr>
            <w:tcW w:w="660" w:type="dxa"/>
            <w:tcBorders>
              <w:top w:val="single" w:color="auto" w:sz="8" w:space="0"/>
              <w:left w:val="single" w:color="auto" w:sz="8" w:space="0"/>
              <w:bottom w:val="single" w:color="auto" w:sz="8" w:space="0"/>
              <w:right w:val="single" w:color="auto" w:sz="8" w:space="0"/>
            </w:tcBorders>
            <w:shd w:val="clear" w:color="auto" w:fill="auto"/>
            <w:vAlign w:val="center"/>
          </w:tcPr>
          <w:p>
            <w:pPr>
              <w:autoSpaceDE w:val="0"/>
              <w:autoSpaceDN w:val="0"/>
              <w:adjustRightIn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网址</w:t>
            </w:r>
          </w:p>
        </w:tc>
        <w:tc>
          <w:tcPr>
            <w:tcW w:w="5050" w:type="dxa"/>
            <w:tcBorders>
              <w:top w:val="single" w:color="auto" w:sz="8" w:space="0"/>
              <w:left w:val="single" w:color="auto" w:sz="8" w:space="0"/>
              <w:bottom w:val="single" w:color="auto" w:sz="8" w:space="0"/>
              <w:right w:val="single" w:color="auto" w:sz="8" w:space="0"/>
            </w:tcBorders>
            <w:shd w:val="clear" w:color="auto" w:fill="auto"/>
            <w:vAlign w:val="center"/>
          </w:tcPr>
          <w:p>
            <w:pPr>
              <w:autoSpaceDE w:val="0"/>
              <w:autoSpaceDN w:val="0"/>
              <w:adjustRightIn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www.wacaijijin.com</w:t>
            </w:r>
          </w:p>
        </w:tc>
      </w:tr>
    </w:tbl>
    <w:p>
      <w:pPr>
        <w:numPr>
          <w:ilvl w:val="0"/>
          <w:numId w:val="0"/>
        </w:numPr>
        <w:autoSpaceDE w:val="0"/>
        <w:autoSpaceDN w:val="0"/>
        <w:adjustRightIn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18）深圳市新兰德证券投资咨询有限公司</w:t>
      </w:r>
    </w:p>
    <w:tbl>
      <w:tblPr>
        <w:tblStyle w:val="35"/>
        <w:tblW w:w="8647"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715"/>
        <w:gridCol w:w="2123"/>
        <w:gridCol w:w="1055"/>
        <w:gridCol w:w="375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20" w:type="dxa"/>
            <w:tcBorders>
              <w:top w:val="single" w:color="auto" w:sz="8" w:space="0"/>
              <w:left w:val="single" w:color="auto" w:sz="8" w:space="0"/>
              <w:bottom w:val="single" w:color="auto" w:sz="8" w:space="0"/>
              <w:right w:val="single" w:color="auto" w:sz="8" w:space="0"/>
            </w:tcBorders>
            <w:shd w:val="clear" w:color="auto" w:fill="auto"/>
            <w:vAlign w:val="center"/>
          </w:tcPr>
          <w:p>
            <w:pPr>
              <w:numPr>
                <w:ilvl w:val="0"/>
                <w:numId w:val="0"/>
              </w:numPr>
              <w:autoSpaceDE w:val="0"/>
              <w:autoSpaceDN w:val="0"/>
              <w:adjustRightInd w:val="0"/>
              <w:spacing w:line="360" w:lineRule="auto"/>
              <w:ind w:leftChars="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办公地址</w:t>
            </w:r>
          </w:p>
        </w:tc>
        <w:tc>
          <w:tcPr>
            <w:tcW w:w="4530" w:type="dxa"/>
            <w:gridSpan w:val="3"/>
            <w:tcBorders>
              <w:top w:val="single" w:color="auto" w:sz="8" w:space="0"/>
              <w:left w:val="dotted" w:color="AAAAAA" w:sz="4" w:space="0"/>
              <w:bottom w:val="single" w:color="auto" w:sz="8" w:space="0"/>
              <w:right w:val="single" w:color="auto" w:sz="8" w:space="0"/>
            </w:tcBorders>
            <w:shd w:val="clear" w:color="auto" w:fill="auto"/>
            <w:vAlign w:val="center"/>
          </w:tcPr>
          <w:p>
            <w:pPr>
              <w:numPr>
                <w:ilvl w:val="0"/>
                <w:numId w:val="0"/>
              </w:numPr>
              <w:autoSpaceDE w:val="0"/>
              <w:autoSpaceDN w:val="0"/>
              <w:adjustRightInd w:val="0"/>
              <w:spacing w:line="360" w:lineRule="auto"/>
              <w:ind w:leftChars="0"/>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eastAsia="zh-CN"/>
              </w:rPr>
              <w:t>北京市丰台区丽泽平安幸福中心B座31层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20" w:type="dxa"/>
            <w:tcBorders>
              <w:top w:val="dotted" w:color="AAAAAA" w:sz="4" w:space="0"/>
              <w:left w:val="single" w:color="auto" w:sz="8" w:space="0"/>
              <w:bottom w:val="single" w:color="auto" w:sz="8" w:space="0"/>
              <w:right w:val="single" w:color="auto" w:sz="8" w:space="0"/>
            </w:tcBorders>
            <w:shd w:val="clear" w:color="auto" w:fill="auto"/>
            <w:vAlign w:val="center"/>
          </w:tcPr>
          <w:p>
            <w:pPr>
              <w:numPr>
                <w:ilvl w:val="0"/>
                <w:numId w:val="0"/>
              </w:numPr>
              <w:autoSpaceDE w:val="0"/>
              <w:autoSpaceDN w:val="0"/>
              <w:adjustRightInd w:val="0"/>
              <w:spacing w:line="360" w:lineRule="auto"/>
              <w:ind w:leftChars="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联系人</w:t>
            </w:r>
          </w:p>
        </w:tc>
        <w:tc>
          <w:tcPr>
            <w:tcW w:w="4530" w:type="dxa"/>
            <w:gridSpan w:val="3"/>
            <w:tcBorders>
              <w:top w:val="dotted" w:color="AAAAAA" w:sz="4" w:space="0"/>
              <w:left w:val="dotted" w:color="AAAAAA" w:sz="4" w:space="0"/>
              <w:bottom w:val="single" w:color="auto" w:sz="8" w:space="0"/>
              <w:right w:val="single" w:color="auto" w:sz="8" w:space="0"/>
            </w:tcBorders>
            <w:shd w:val="clear" w:color="auto" w:fill="auto"/>
            <w:vAlign w:val="center"/>
          </w:tcPr>
          <w:p>
            <w:pPr>
              <w:numPr>
                <w:ilvl w:val="0"/>
                <w:numId w:val="0"/>
              </w:numPr>
              <w:autoSpaceDE w:val="0"/>
              <w:autoSpaceDN w:val="0"/>
              <w:adjustRightInd w:val="0"/>
              <w:spacing w:line="360" w:lineRule="auto"/>
              <w:ind w:leftChars="0"/>
              <w:rPr>
                <w:rFonts w:hint="eastAsia" w:ascii="宋体" w:hAnsi="宋体" w:eastAsia="宋体" w:cs="宋体"/>
                <w:sz w:val="24"/>
                <w:szCs w:val="24"/>
                <w:highlight w:val="none"/>
              </w:rPr>
            </w:pPr>
            <w:r>
              <w:rPr>
                <w:rFonts w:hint="eastAsia" w:ascii="宋体" w:hAnsi="宋体" w:eastAsia="宋体" w:cs="宋体"/>
                <w:sz w:val="24"/>
                <w:szCs w:val="24"/>
                <w:highlight w:val="none"/>
              </w:rPr>
              <w:t>孙博文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20" w:type="dxa"/>
            <w:tcBorders>
              <w:top w:val="dotted" w:color="AAAAAA" w:sz="4" w:space="0"/>
              <w:left w:val="single" w:color="auto" w:sz="8" w:space="0"/>
              <w:bottom w:val="single" w:color="auto" w:sz="8" w:space="0"/>
              <w:right w:val="single" w:color="auto" w:sz="8" w:space="0"/>
            </w:tcBorders>
            <w:shd w:val="clear" w:color="auto" w:fill="auto"/>
            <w:vAlign w:val="center"/>
          </w:tcPr>
          <w:p>
            <w:pPr>
              <w:numPr>
                <w:ilvl w:val="0"/>
                <w:numId w:val="0"/>
              </w:numPr>
              <w:autoSpaceDE w:val="0"/>
              <w:autoSpaceDN w:val="0"/>
              <w:adjustRightInd w:val="0"/>
              <w:spacing w:line="360" w:lineRule="auto"/>
              <w:ind w:leftChars="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客服电话</w:t>
            </w:r>
          </w:p>
        </w:tc>
        <w:tc>
          <w:tcPr>
            <w:tcW w:w="1510" w:type="dxa"/>
            <w:tcBorders>
              <w:top w:val="dotted" w:color="AAAAAA" w:sz="4" w:space="0"/>
              <w:left w:val="dotted" w:color="AAAAAA" w:sz="4" w:space="0"/>
              <w:bottom w:val="single" w:color="auto" w:sz="8" w:space="0"/>
              <w:right w:val="single" w:color="auto" w:sz="8" w:space="0"/>
            </w:tcBorders>
            <w:shd w:val="clear" w:color="auto" w:fill="auto"/>
            <w:vAlign w:val="center"/>
          </w:tcPr>
          <w:p>
            <w:pPr>
              <w:numPr>
                <w:ilvl w:val="0"/>
                <w:numId w:val="0"/>
              </w:numPr>
              <w:autoSpaceDE w:val="0"/>
              <w:autoSpaceDN w:val="0"/>
              <w:adjustRightInd w:val="0"/>
              <w:spacing w:line="360" w:lineRule="auto"/>
              <w:ind w:leftChars="0"/>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eastAsia="zh-CN"/>
              </w:rPr>
              <w:t>4001661188-2</w:t>
            </w:r>
          </w:p>
        </w:tc>
        <w:tc>
          <w:tcPr>
            <w:tcW w:w="750" w:type="dxa"/>
            <w:tcBorders>
              <w:top w:val="single" w:color="auto" w:sz="8" w:space="0"/>
              <w:left w:val="dotted" w:color="AAAAAA" w:sz="4" w:space="0"/>
              <w:bottom w:val="single" w:color="auto" w:sz="8" w:space="0"/>
              <w:right w:val="single" w:color="auto" w:sz="8" w:space="0"/>
            </w:tcBorders>
            <w:shd w:val="clear" w:color="auto" w:fill="auto"/>
            <w:vAlign w:val="center"/>
          </w:tcPr>
          <w:p>
            <w:pPr>
              <w:numPr>
                <w:ilvl w:val="0"/>
                <w:numId w:val="0"/>
              </w:numPr>
              <w:autoSpaceDE w:val="0"/>
              <w:autoSpaceDN w:val="0"/>
              <w:adjustRightInd w:val="0"/>
              <w:spacing w:line="360" w:lineRule="auto"/>
              <w:ind w:leftChars="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网址</w:t>
            </w:r>
          </w:p>
        </w:tc>
        <w:tc>
          <w:tcPr>
            <w:tcW w:w="2260" w:type="dxa"/>
            <w:tcBorders>
              <w:top w:val="single" w:color="auto" w:sz="8" w:space="0"/>
              <w:left w:val="dotted" w:color="AAAAAA" w:sz="4" w:space="0"/>
              <w:bottom w:val="single" w:color="auto" w:sz="8" w:space="0"/>
              <w:right w:val="single" w:color="auto" w:sz="8" w:space="0"/>
            </w:tcBorders>
            <w:shd w:val="clear" w:color="auto" w:fill="auto"/>
            <w:vAlign w:val="center"/>
          </w:tcPr>
          <w:p>
            <w:pPr>
              <w:numPr>
                <w:ilvl w:val="0"/>
                <w:numId w:val="0"/>
              </w:numPr>
              <w:autoSpaceDE w:val="0"/>
              <w:autoSpaceDN w:val="0"/>
              <w:adjustRightInd w:val="0"/>
              <w:spacing w:line="360" w:lineRule="auto"/>
              <w:ind w:leftChars="0"/>
              <w:rPr>
                <w:rFonts w:hint="eastAsia" w:ascii="宋体" w:hAnsi="宋体" w:eastAsia="宋体" w:cs="宋体"/>
                <w:sz w:val="24"/>
                <w:szCs w:val="24"/>
                <w:highlight w:val="none"/>
              </w:rPr>
            </w:pPr>
            <w:r>
              <w:rPr>
                <w:rFonts w:hint="eastAsia" w:ascii="宋体" w:hAnsi="宋体" w:eastAsia="宋体" w:cs="宋体"/>
                <w:sz w:val="24"/>
                <w:szCs w:val="24"/>
                <w:highlight w:val="none"/>
              </w:rPr>
              <w:t>http://www.new-rand.cn</w:t>
            </w:r>
          </w:p>
        </w:tc>
      </w:tr>
    </w:tbl>
    <w:p>
      <w:pPr>
        <w:numPr>
          <w:ilvl w:val="0"/>
          <w:numId w:val="0"/>
        </w:numPr>
        <w:autoSpaceDE w:val="0"/>
        <w:autoSpaceDN w:val="0"/>
        <w:adjustRightInd w:val="0"/>
        <w:spacing w:line="360" w:lineRule="auto"/>
        <w:ind w:leftChars="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上海华夏财富投资管理有限公司</w:t>
      </w:r>
    </w:p>
    <w:tbl>
      <w:tblPr>
        <w:tblStyle w:val="3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834"/>
        <w:gridCol w:w="850"/>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办公地址</w:t>
            </w:r>
          </w:p>
        </w:tc>
        <w:tc>
          <w:tcPr>
            <w:tcW w:w="680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北京市西城区金融大街33号通泰大厦B座8层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联系人</w:t>
            </w:r>
          </w:p>
        </w:tc>
        <w:tc>
          <w:tcPr>
            <w:tcW w:w="680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张静怡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客服电话</w:t>
            </w:r>
          </w:p>
        </w:tc>
        <w:tc>
          <w:tcPr>
            <w:tcW w:w="283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400-817-5666</w:t>
            </w: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网址</w:t>
            </w:r>
          </w:p>
        </w:tc>
        <w:tc>
          <w:tcPr>
            <w:tcW w:w="312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www.amcfortune.com</w:t>
            </w:r>
          </w:p>
        </w:tc>
      </w:tr>
    </w:tbl>
    <w:p>
      <w:pPr>
        <w:autoSpaceDE w:val="0"/>
        <w:autoSpaceDN w:val="0"/>
        <w:adjustRightInd w:val="0"/>
        <w:spacing w:line="360" w:lineRule="auto"/>
        <w:rPr>
          <w:rFonts w:hint="eastAsia" w:ascii="宋体" w:hAnsi="宋体" w:eastAsia="宋体" w:cs="宋体"/>
          <w:sz w:val="24"/>
          <w:szCs w:val="21"/>
        </w:rPr>
      </w:pPr>
      <w:r>
        <w:rPr>
          <w:rFonts w:hint="eastAsia" w:ascii="宋体" w:hAnsi="宋体" w:eastAsia="宋体" w:cs="宋体"/>
          <w:sz w:val="24"/>
          <w:szCs w:val="21"/>
          <w:lang w:val="en-US" w:eastAsia="zh-CN"/>
        </w:rPr>
        <w:t>20</w:t>
      </w:r>
      <w:r>
        <w:rPr>
          <w:rFonts w:hint="eastAsia" w:ascii="宋体" w:hAnsi="宋体" w:eastAsia="宋体" w:cs="宋体"/>
          <w:sz w:val="24"/>
          <w:szCs w:val="21"/>
        </w:rPr>
        <w:t>）深圳市前海排排网基金销售有限责任公司</w:t>
      </w:r>
    </w:p>
    <w:tbl>
      <w:tblPr>
        <w:tblStyle w:val="3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835"/>
        <w:gridCol w:w="851"/>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办公地址</w:t>
            </w:r>
          </w:p>
        </w:tc>
        <w:tc>
          <w:tcPr>
            <w:tcW w:w="680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深圳市福田区福强路4001号深圳市世纪工艺品文化市场313栋E-403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联系人</w:t>
            </w:r>
          </w:p>
        </w:tc>
        <w:tc>
          <w:tcPr>
            <w:tcW w:w="680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华荣杰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客服电话</w:t>
            </w:r>
          </w:p>
        </w:tc>
        <w:tc>
          <w:tcPr>
            <w:tcW w:w="283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400-680-3928</w:t>
            </w: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网址</w:t>
            </w:r>
          </w:p>
        </w:tc>
        <w:tc>
          <w:tcPr>
            <w:tcW w:w="3118"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www.simuwang.com</w:t>
            </w:r>
          </w:p>
        </w:tc>
      </w:tr>
    </w:tbl>
    <w:p>
      <w:pPr>
        <w:numPr>
          <w:ilvl w:val="0"/>
          <w:numId w:val="0"/>
        </w:numPr>
        <w:autoSpaceDE w:val="0"/>
        <w:autoSpaceDN w:val="0"/>
        <w:adjustRightInd w:val="0"/>
        <w:spacing w:line="360" w:lineRule="auto"/>
        <w:ind w:leftChars="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21）</w:t>
      </w:r>
      <w:r>
        <w:rPr>
          <w:rFonts w:hint="eastAsia" w:ascii="宋体" w:hAnsi="宋体" w:eastAsia="宋体" w:cs="宋体"/>
          <w:b w:val="0"/>
          <w:bCs w:val="0"/>
          <w:sz w:val="24"/>
          <w:szCs w:val="21"/>
          <w:lang w:eastAsia="zh-CN"/>
        </w:rPr>
        <w:t>上海大智慧基金销售有限公司</w:t>
      </w:r>
    </w:p>
    <w:tbl>
      <w:tblPr>
        <w:tblStyle w:val="35"/>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68"/>
        <w:gridCol w:w="1134"/>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办公地址</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上海市浦东新区杨高南路428号由由世纪广场1号楼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联系人</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张蜓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客服电话</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021-20292031</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网址</w:t>
            </w:r>
          </w:p>
        </w:tc>
        <w:tc>
          <w:tcPr>
            <w:tcW w:w="32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www.wg.com.cn</w:t>
            </w:r>
          </w:p>
        </w:tc>
      </w:tr>
    </w:tbl>
    <w:p>
      <w:pPr>
        <w:numPr>
          <w:ilvl w:val="0"/>
          <w:numId w:val="0"/>
        </w:numPr>
        <w:autoSpaceDE w:val="0"/>
        <w:autoSpaceDN w:val="0"/>
        <w:adjustRightInd w:val="0"/>
        <w:spacing w:line="360" w:lineRule="auto"/>
        <w:ind w:leftChars="0"/>
        <w:rPr>
          <w:rFonts w:hint="eastAsia" w:ascii="仿宋" w:hAnsi="仿宋" w:eastAsia="仿宋" w:cs="仿宋"/>
          <w:sz w:val="24"/>
          <w:szCs w:val="24"/>
          <w:highlight w:val="none"/>
          <w:lang w:val="en-US" w:eastAsia="zh-CN"/>
        </w:rPr>
      </w:pPr>
    </w:p>
    <w:p>
      <w:pPr>
        <w:pStyle w:val="21"/>
        <w:ind w:firstLine="480"/>
        <w:jc w:val="left"/>
        <w:rPr>
          <w:sz w:val="24"/>
        </w:rPr>
      </w:pPr>
      <w:r>
        <w:rPr>
          <w:rFonts w:hint="eastAsia"/>
          <w:sz w:val="24"/>
        </w:rPr>
        <w:t>基金管理人可根据《基金法》、《运作办法》、《销售办法》和基金合同等的规定，选择其他符合要求的机构销售本基金，并在基金管理人网站公示。</w:t>
      </w:r>
    </w:p>
    <w:bookmarkEnd w:id="24"/>
    <w:bookmarkEnd w:id="25"/>
    <w:p>
      <w:pPr>
        <w:pStyle w:val="21"/>
        <w:adjustRightInd w:val="0"/>
        <w:snapToGrid w:val="0"/>
        <w:ind w:firstLine="480"/>
        <w:rPr>
          <w:sz w:val="24"/>
          <w:shd w:val="pct10" w:color="auto" w:fill="FFFFFF"/>
        </w:rPr>
      </w:pPr>
      <w:r>
        <w:rPr>
          <w:rFonts w:hint="eastAsia"/>
          <w:sz w:val="24"/>
        </w:rPr>
        <w:t>二、登记机构</w:t>
      </w:r>
    </w:p>
    <w:tbl>
      <w:tblPr>
        <w:tblStyle w:val="35"/>
        <w:tblW w:w="0" w:type="auto"/>
        <w:tblInd w:w="-34" w:type="dxa"/>
        <w:tblLayout w:type="fixed"/>
        <w:tblCellMar>
          <w:top w:w="0" w:type="dxa"/>
          <w:left w:w="0" w:type="dxa"/>
          <w:bottom w:w="0" w:type="dxa"/>
          <w:right w:w="0" w:type="dxa"/>
        </w:tblCellMar>
      </w:tblPr>
      <w:tblGrid>
        <w:gridCol w:w="1843"/>
        <w:gridCol w:w="2835"/>
        <w:gridCol w:w="993"/>
        <w:gridCol w:w="2885"/>
      </w:tblGrid>
      <w:tr>
        <w:tblPrEx>
          <w:tblCellMar>
            <w:top w:w="0" w:type="dxa"/>
            <w:left w:w="0" w:type="dxa"/>
            <w:bottom w:w="0" w:type="dxa"/>
            <w:right w:w="0" w:type="dxa"/>
          </w:tblCellMar>
        </w:tblPrEx>
        <w:trPr>
          <w:trHeight w:val="454" w:hRule="atLeast"/>
        </w:trPr>
        <w:tc>
          <w:tcPr>
            <w:tcW w:w="18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名称</w:t>
            </w:r>
          </w:p>
        </w:tc>
        <w:tc>
          <w:tcPr>
            <w:tcW w:w="671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银华基金管理股份有限公司</w:t>
            </w:r>
          </w:p>
        </w:tc>
      </w:tr>
      <w:tr>
        <w:tblPrEx>
          <w:tblCellMar>
            <w:top w:w="0" w:type="dxa"/>
            <w:left w:w="0" w:type="dxa"/>
            <w:bottom w:w="0" w:type="dxa"/>
            <w:right w:w="0" w:type="dxa"/>
          </w:tblCellMar>
        </w:tblPrEx>
        <w:trPr>
          <w:trHeight w:val="454" w:hRule="atLeast"/>
        </w:trPr>
        <w:tc>
          <w:tcPr>
            <w:tcW w:w="18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住所</w:t>
            </w:r>
          </w:p>
        </w:tc>
        <w:tc>
          <w:tcPr>
            <w:tcW w:w="671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深圳市福田区深南大道</w:t>
            </w:r>
            <w:r>
              <w:rPr>
                <w:rFonts w:ascii="宋体" w:hAnsi="宋体"/>
                <w:sz w:val="24"/>
              </w:rPr>
              <w:t>6008</w:t>
            </w:r>
            <w:r>
              <w:rPr>
                <w:rFonts w:hint="eastAsia" w:ascii="宋体" w:hAnsi="宋体"/>
                <w:sz w:val="24"/>
              </w:rPr>
              <w:t>号特区报业大厦</w:t>
            </w:r>
            <w:r>
              <w:rPr>
                <w:rFonts w:ascii="宋体" w:hAnsi="宋体"/>
                <w:sz w:val="24"/>
              </w:rPr>
              <w:t>19</w:t>
            </w:r>
            <w:r>
              <w:rPr>
                <w:rFonts w:hint="eastAsia" w:ascii="宋体" w:hAnsi="宋体"/>
                <w:sz w:val="24"/>
              </w:rPr>
              <w:t>层</w:t>
            </w:r>
          </w:p>
        </w:tc>
      </w:tr>
      <w:tr>
        <w:tblPrEx>
          <w:tblCellMar>
            <w:top w:w="0" w:type="dxa"/>
            <w:left w:w="0" w:type="dxa"/>
            <w:bottom w:w="0" w:type="dxa"/>
            <w:right w:w="0" w:type="dxa"/>
          </w:tblCellMar>
        </w:tblPrEx>
        <w:trPr>
          <w:trHeight w:val="454" w:hRule="atLeast"/>
        </w:trPr>
        <w:tc>
          <w:tcPr>
            <w:tcW w:w="18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办公地址</w:t>
            </w:r>
          </w:p>
        </w:tc>
        <w:tc>
          <w:tcPr>
            <w:tcW w:w="671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北京市东城区东长安街1号东方广场东方经贸城C2办公楼15层</w:t>
            </w:r>
          </w:p>
        </w:tc>
      </w:tr>
      <w:tr>
        <w:tblPrEx>
          <w:tblCellMar>
            <w:top w:w="0" w:type="dxa"/>
            <w:left w:w="0" w:type="dxa"/>
            <w:bottom w:w="0" w:type="dxa"/>
            <w:right w:w="0" w:type="dxa"/>
          </w:tblCellMar>
        </w:tblPrEx>
        <w:trPr>
          <w:trHeight w:val="454" w:hRule="atLeast"/>
        </w:trPr>
        <w:tc>
          <w:tcPr>
            <w:tcW w:w="18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法定代表人</w:t>
            </w:r>
          </w:p>
        </w:tc>
        <w:tc>
          <w:tcPr>
            <w:tcW w:w="28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王珠林</w:t>
            </w:r>
          </w:p>
        </w:tc>
        <w:tc>
          <w:tcPr>
            <w:tcW w:w="9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联系人</w:t>
            </w:r>
          </w:p>
        </w:tc>
        <w:tc>
          <w:tcPr>
            <w:tcW w:w="28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伍军辉</w:t>
            </w:r>
          </w:p>
        </w:tc>
      </w:tr>
      <w:tr>
        <w:tblPrEx>
          <w:tblCellMar>
            <w:top w:w="0" w:type="dxa"/>
            <w:left w:w="0" w:type="dxa"/>
            <w:bottom w:w="0" w:type="dxa"/>
            <w:right w:w="0" w:type="dxa"/>
          </w:tblCellMar>
        </w:tblPrEx>
        <w:trPr>
          <w:trHeight w:val="454" w:hRule="atLeast"/>
        </w:trPr>
        <w:tc>
          <w:tcPr>
            <w:tcW w:w="18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电话</w:t>
            </w:r>
          </w:p>
        </w:tc>
        <w:tc>
          <w:tcPr>
            <w:tcW w:w="28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010-</w:t>
            </w:r>
            <w:r>
              <w:rPr>
                <w:rFonts w:ascii="宋体" w:hAnsi="宋体"/>
                <w:sz w:val="24"/>
              </w:rPr>
              <w:t>58163000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传真</w:t>
            </w:r>
          </w:p>
        </w:tc>
        <w:tc>
          <w:tcPr>
            <w:tcW w:w="28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010-</w:t>
            </w:r>
            <w:r>
              <w:rPr>
                <w:rFonts w:ascii="宋体" w:hAnsi="宋体"/>
                <w:sz w:val="24"/>
              </w:rPr>
              <w:t>58162824</w:t>
            </w:r>
          </w:p>
        </w:tc>
      </w:tr>
    </w:tbl>
    <w:p>
      <w:pPr>
        <w:pStyle w:val="21"/>
        <w:adjustRightInd w:val="0"/>
        <w:snapToGrid w:val="0"/>
        <w:spacing w:before="156" w:beforeLines="50"/>
        <w:ind w:firstLine="480"/>
        <w:rPr>
          <w:sz w:val="24"/>
        </w:rPr>
      </w:pPr>
      <w:r>
        <w:rPr>
          <w:rFonts w:hint="eastAsia"/>
          <w:sz w:val="24"/>
        </w:rPr>
        <w:t>三、出具法律意见书的律师事务所</w:t>
      </w:r>
    </w:p>
    <w:tbl>
      <w:tblPr>
        <w:tblStyle w:val="35"/>
        <w:tblW w:w="0" w:type="auto"/>
        <w:tblInd w:w="-34" w:type="dxa"/>
        <w:tblLayout w:type="fixed"/>
        <w:tblCellMar>
          <w:top w:w="0" w:type="dxa"/>
          <w:left w:w="0" w:type="dxa"/>
          <w:bottom w:w="0" w:type="dxa"/>
          <w:right w:w="0" w:type="dxa"/>
        </w:tblCellMar>
      </w:tblPr>
      <w:tblGrid>
        <w:gridCol w:w="1985"/>
        <w:gridCol w:w="2100"/>
        <w:gridCol w:w="1281"/>
        <w:gridCol w:w="3140"/>
      </w:tblGrid>
      <w:tr>
        <w:tblPrEx>
          <w:tblCellMar>
            <w:top w:w="0" w:type="dxa"/>
            <w:left w:w="0" w:type="dxa"/>
            <w:bottom w:w="0" w:type="dxa"/>
            <w:right w:w="0" w:type="dxa"/>
          </w:tblCellMar>
        </w:tblPrEx>
        <w:trPr>
          <w:trHeight w:val="454" w:hRule="exact"/>
        </w:trPr>
        <w:tc>
          <w:tcPr>
            <w:tcW w:w="198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名称</w:t>
            </w:r>
          </w:p>
        </w:tc>
        <w:tc>
          <w:tcPr>
            <w:tcW w:w="6521"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上海</w:t>
            </w:r>
            <w:r>
              <w:rPr>
                <w:rFonts w:hint="eastAsia" w:ascii="宋体" w:hAnsi="宋体"/>
                <w:sz w:val="24"/>
                <w:lang w:eastAsia="zh-Hans"/>
              </w:rPr>
              <w:t>源泰</w:t>
            </w:r>
            <w:r>
              <w:rPr>
                <w:rFonts w:hint="eastAsia" w:ascii="宋体" w:hAnsi="宋体"/>
                <w:sz w:val="24"/>
              </w:rPr>
              <w:t>律师事务所</w:t>
            </w:r>
          </w:p>
        </w:tc>
      </w:tr>
      <w:tr>
        <w:tblPrEx>
          <w:tblCellMar>
            <w:top w:w="0" w:type="dxa"/>
            <w:left w:w="0" w:type="dxa"/>
            <w:bottom w:w="0" w:type="dxa"/>
            <w:right w:w="0" w:type="dxa"/>
          </w:tblCellMar>
        </w:tblPrEx>
        <w:trPr>
          <w:trHeight w:val="454" w:hRule="exact"/>
        </w:trPr>
        <w:tc>
          <w:tcPr>
            <w:tcW w:w="198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住所及办公地址</w:t>
            </w:r>
          </w:p>
        </w:tc>
        <w:tc>
          <w:tcPr>
            <w:tcW w:w="652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上海市浦东南路256号华夏银行大厦14楼</w:t>
            </w:r>
          </w:p>
        </w:tc>
      </w:tr>
      <w:tr>
        <w:tblPrEx>
          <w:tblCellMar>
            <w:top w:w="0" w:type="dxa"/>
            <w:left w:w="0" w:type="dxa"/>
            <w:bottom w:w="0" w:type="dxa"/>
            <w:right w:w="0" w:type="dxa"/>
          </w:tblCellMar>
        </w:tblPrEx>
        <w:trPr>
          <w:trHeight w:val="454" w:hRule="exact"/>
        </w:trPr>
        <w:tc>
          <w:tcPr>
            <w:tcW w:w="198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负责人</w:t>
            </w:r>
          </w:p>
        </w:tc>
        <w:tc>
          <w:tcPr>
            <w:tcW w:w="21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lang w:eastAsia="zh-Hans"/>
              </w:rPr>
              <w:t>廖海</w:t>
            </w:r>
          </w:p>
        </w:tc>
        <w:tc>
          <w:tcPr>
            <w:tcW w:w="128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联系人</w:t>
            </w:r>
          </w:p>
        </w:tc>
        <w:tc>
          <w:tcPr>
            <w:tcW w:w="3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lang w:eastAsia="zh-Hans"/>
              </w:rPr>
              <w:t>刘佳</w:t>
            </w:r>
          </w:p>
        </w:tc>
      </w:tr>
      <w:tr>
        <w:tblPrEx>
          <w:tblCellMar>
            <w:top w:w="0" w:type="dxa"/>
            <w:left w:w="0" w:type="dxa"/>
            <w:bottom w:w="0" w:type="dxa"/>
            <w:right w:w="0" w:type="dxa"/>
          </w:tblCellMar>
        </w:tblPrEx>
        <w:trPr>
          <w:trHeight w:val="454" w:hRule="exact"/>
        </w:trPr>
        <w:tc>
          <w:tcPr>
            <w:tcW w:w="198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电话</w:t>
            </w:r>
          </w:p>
        </w:tc>
        <w:tc>
          <w:tcPr>
            <w:tcW w:w="21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021-51150298</w:t>
            </w:r>
          </w:p>
        </w:tc>
        <w:tc>
          <w:tcPr>
            <w:tcW w:w="12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传真</w:t>
            </w:r>
          </w:p>
        </w:tc>
        <w:tc>
          <w:tcPr>
            <w:tcW w:w="31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021-51150398</w:t>
            </w:r>
          </w:p>
        </w:tc>
      </w:tr>
      <w:tr>
        <w:tblPrEx>
          <w:tblCellMar>
            <w:top w:w="0" w:type="dxa"/>
            <w:left w:w="0" w:type="dxa"/>
            <w:bottom w:w="0" w:type="dxa"/>
            <w:right w:w="0" w:type="dxa"/>
          </w:tblCellMar>
        </w:tblPrEx>
        <w:trPr>
          <w:trHeight w:val="454" w:hRule="exact"/>
        </w:trPr>
        <w:tc>
          <w:tcPr>
            <w:tcW w:w="198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经办律师</w:t>
            </w:r>
          </w:p>
        </w:tc>
        <w:tc>
          <w:tcPr>
            <w:tcW w:w="652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lang w:eastAsia="zh-Hans"/>
              </w:rPr>
              <w:t>刘佳</w:t>
            </w:r>
            <w:r>
              <w:rPr>
                <w:rFonts w:hint="eastAsia" w:ascii="宋体" w:hAnsi="宋体"/>
                <w:sz w:val="24"/>
              </w:rPr>
              <w:t>、</w:t>
            </w:r>
            <w:r>
              <w:rPr>
                <w:rFonts w:hint="eastAsia" w:ascii="宋体" w:hAnsi="宋体"/>
                <w:sz w:val="24"/>
                <w:lang w:eastAsia="zh-Hans"/>
              </w:rPr>
              <w:t>姜亚萍</w:t>
            </w:r>
          </w:p>
        </w:tc>
      </w:tr>
    </w:tbl>
    <w:p>
      <w:pPr>
        <w:pStyle w:val="21"/>
        <w:adjustRightInd w:val="0"/>
        <w:snapToGrid w:val="0"/>
        <w:spacing w:before="156" w:beforeLines="50"/>
        <w:ind w:firstLine="0" w:firstLineChars="0"/>
        <w:rPr>
          <w:sz w:val="24"/>
        </w:rPr>
      </w:pPr>
      <w:r>
        <w:rPr>
          <w:sz w:val="24"/>
        </w:rPr>
        <w:t xml:space="preserve">    </w:t>
      </w:r>
      <w:r>
        <w:rPr>
          <w:rFonts w:hint="eastAsia"/>
          <w:sz w:val="24"/>
        </w:rPr>
        <w:t>四、审计基金财产的会计师事务所</w:t>
      </w:r>
    </w:p>
    <w:tbl>
      <w:tblPr>
        <w:tblStyle w:val="35"/>
        <w:tblW w:w="0" w:type="auto"/>
        <w:tblInd w:w="-34" w:type="dxa"/>
        <w:tblLayout w:type="fixed"/>
        <w:tblCellMar>
          <w:top w:w="0" w:type="dxa"/>
          <w:left w:w="0" w:type="dxa"/>
          <w:bottom w:w="0" w:type="dxa"/>
          <w:right w:w="0" w:type="dxa"/>
        </w:tblCellMar>
      </w:tblPr>
      <w:tblGrid>
        <w:gridCol w:w="1985"/>
        <w:gridCol w:w="2835"/>
        <w:gridCol w:w="1276"/>
        <w:gridCol w:w="2460"/>
      </w:tblGrid>
      <w:tr>
        <w:tblPrEx>
          <w:tblCellMar>
            <w:top w:w="0" w:type="dxa"/>
            <w:left w:w="0" w:type="dxa"/>
            <w:bottom w:w="0" w:type="dxa"/>
            <w:right w:w="0" w:type="dxa"/>
          </w:tblCellMar>
        </w:tblPrEx>
        <w:trPr>
          <w:trHeight w:val="454" w:hRule="exact"/>
        </w:trPr>
        <w:tc>
          <w:tcPr>
            <w:tcW w:w="198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名称</w:t>
            </w:r>
          </w:p>
        </w:tc>
        <w:tc>
          <w:tcPr>
            <w:tcW w:w="6571"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普华永道中天会计师事务所（特殊普通合伙）</w:t>
            </w:r>
          </w:p>
        </w:tc>
      </w:tr>
      <w:tr>
        <w:tblPrEx>
          <w:tblCellMar>
            <w:top w:w="0" w:type="dxa"/>
            <w:left w:w="0" w:type="dxa"/>
            <w:bottom w:w="0" w:type="dxa"/>
            <w:right w:w="0" w:type="dxa"/>
          </w:tblCellMar>
        </w:tblPrEx>
        <w:trPr>
          <w:trHeight w:val="1062" w:hRule="exact"/>
        </w:trPr>
        <w:tc>
          <w:tcPr>
            <w:tcW w:w="198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住所及办公地址</w:t>
            </w:r>
          </w:p>
        </w:tc>
        <w:tc>
          <w:tcPr>
            <w:tcW w:w="6571"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sz w:val="24"/>
              </w:rPr>
            </w:pPr>
            <w:r>
              <w:rPr>
                <w:rFonts w:hint="eastAsia" w:ascii="宋体" w:hAnsi="宋体"/>
                <w:sz w:val="24"/>
              </w:rPr>
              <w:t>上海市黄浦区湖滨路202号领展企业广场二座普华永道中心11楼</w:t>
            </w:r>
          </w:p>
        </w:tc>
      </w:tr>
      <w:tr>
        <w:tblPrEx>
          <w:tblCellMar>
            <w:top w:w="0" w:type="dxa"/>
            <w:left w:w="0" w:type="dxa"/>
            <w:bottom w:w="0" w:type="dxa"/>
            <w:right w:w="0" w:type="dxa"/>
          </w:tblCellMar>
        </w:tblPrEx>
        <w:trPr>
          <w:trHeight w:val="454" w:hRule="exact"/>
        </w:trPr>
        <w:tc>
          <w:tcPr>
            <w:tcW w:w="198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cs="宋体"/>
                <w:color w:val="000000"/>
                <w:kern w:val="0"/>
                <w:sz w:val="24"/>
                <w:szCs w:val="21"/>
              </w:rPr>
            </w:pPr>
            <w:r>
              <w:rPr>
                <w:rFonts w:hint="eastAsia" w:ascii="宋体" w:hAnsi="宋体" w:cs="宋体"/>
                <w:color w:val="000000"/>
                <w:kern w:val="0"/>
                <w:sz w:val="24"/>
                <w:szCs w:val="21"/>
              </w:rPr>
              <w:t>法定代表人</w:t>
            </w:r>
          </w:p>
        </w:tc>
        <w:tc>
          <w:tcPr>
            <w:tcW w:w="28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cs="宋体"/>
                <w:color w:val="000000"/>
                <w:kern w:val="0"/>
                <w:sz w:val="24"/>
                <w:szCs w:val="21"/>
              </w:rPr>
            </w:pPr>
            <w:r>
              <w:rPr>
                <w:rFonts w:hint="eastAsia" w:ascii="宋体" w:hAnsi="宋体"/>
                <w:sz w:val="24"/>
              </w:rPr>
              <w:t>李丹</w:t>
            </w:r>
          </w:p>
        </w:tc>
        <w:tc>
          <w:tcPr>
            <w:tcW w:w="12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cs="宋体"/>
                <w:color w:val="000000"/>
                <w:kern w:val="0"/>
                <w:sz w:val="24"/>
                <w:szCs w:val="21"/>
              </w:rPr>
            </w:pPr>
            <w:r>
              <w:rPr>
                <w:rFonts w:hint="eastAsia" w:ascii="宋体" w:hAnsi="宋体" w:cs="宋体"/>
                <w:color w:val="000000"/>
                <w:kern w:val="0"/>
                <w:sz w:val="24"/>
                <w:szCs w:val="21"/>
              </w:rPr>
              <w:t>联系人</w:t>
            </w:r>
          </w:p>
        </w:tc>
        <w:tc>
          <w:tcPr>
            <w:tcW w:w="24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cs="宋体"/>
                <w:color w:val="000000"/>
                <w:kern w:val="0"/>
                <w:sz w:val="24"/>
                <w:szCs w:val="21"/>
              </w:rPr>
            </w:pPr>
            <w:r>
              <w:rPr>
                <w:rFonts w:hint="eastAsia" w:ascii="宋体" w:hAnsi="宋体"/>
                <w:sz w:val="24"/>
              </w:rPr>
              <w:t>陈熹</w:t>
            </w:r>
          </w:p>
        </w:tc>
      </w:tr>
      <w:tr>
        <w:tblPrEx>
          <w:tblCellMar>
            <w:top w:w="0" w:type="dxa"/>
            <w:left w:w="0" w:type="dxa"/>
            <w:bottom w:w="0" w:type="dxa"/>
            <w:right w:w="0" w:type="dxa"/>
          </w:tblCellMar>
        </w:tblPrEx>
        <w:trPr>
          <w:trHeight w:val="454" w:hRule="exact"/>
        </w:trPr>
        <w:tc>
          <w:tcPr>
            <w:tcW w:w="198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cs="宋体"/>
                <w:color w:val="000000"/>
                <w:kern w:val="0"/>
                <w:sz w:val="24"/>
                <w:szCs w:val="21"/>
              </w:rPr>
            </w:pPr>
            <w:r>
              <w:rPr>
                <w:rFonts w:hint="eastAsia" w:ascii="宋体" w:hAnsi="宋体" w:cs="宋体"/>
                <w:color w:val="000000"/>
                <w:kern w:val="0"/>
                <w:sz w:val="24"/>
                <w:szCs w:val="21"/>
              </w:rPr>
              <w:t>电话</w:t>
            </w:r>
          </w:p>
        </w:tc>
        <w:tc>
          <w:tcPr>
            <w:tcW w:w="28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cs="宋体"/>
                <w:color w:val="000000"/>
                <w:kern w:val="0"/>
                <w:sz w:val="24"/>
                <w:szCs w:val="21"/>
              </w:rPr>
            </w:pPr>
            <w:r>
              <w:rPr>
                <w:rFonts w:ascii="宋体" w:hAnsi="宋体"/>
                <w:sz w:val="24"/>
              </w:rPr>
              <w:t>021-23238888</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cs="宋体"/>
                <w:color w:val="000000"/>
                <w:kern w:val="0"/>
                <w:sz w:val="24"/>
                <w:szCs w:val="21"/>
              </w:rPr>
            </w:pPr>
            <w:r>
              <w:rPr>
                <w:rFonts w:hint="eastAsia" w:ascii="宋体" w:hAnsi="宋体" w:cs="宋体"/>
                <w:color w:val="000000"/>
                <w:kern w:val="0"/>
                <w:sz w:val="24"/>
                <w:szCs w:val="21"/>
              </w:rPr>
              <w:t>传真</w:t>
            </w:r>
          </w:p>
        </w:tc>
        <w:tc>
          <w:tcPr>
            <w:tcW w:w="24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cs="宋体"/>
                <w:color w:val="000000"/>
                <w:kern w:val="0"/>
                <w:sz w:val="24"/>
                <w:szCs w:val="21"/>
              </w:rPr>
            </w:pPr>
            <w:r>
              <w:rPr>
                <w:rFonts w:ascii="宋体" w:hAnsi="宋体"/>
                <w:sz w:val="24"/>
              </w:rPr>
              <w:t>021-23238800</w:t>
            </w:r>
          </w:p>
        </w:tc>
      </w:tr>
      <w:tr>
        <w:tblPrEx>
          <w:tblCellMar>
            <w:top w:w="0" w:type="dxa"/>
            <w:left w:w="0" w:type="dxa"/>
            <w:bottom w:w="0" w:type="dxa"/>
            <w:right w:w="0" w:type="dxa"/>
          </w:tblCellMar>
        </w:tblPrEx>
        <w:trPr>
          <w:trHeight w:val="454" w:hRule="exact"/>
        </w:trPr>
        <w:tc>
          <w:tcPr>
            <w:tcW w:w="198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cs="宋体"/>
                <w:color w:val="000000"/>
                <w:kern w:val="0"/>
                <w:sz w:val="24"/>
                <w:szCs w:val="21"/>
              </w:rPr>
            </w:pPr>
            <w:r>
              <w:rPr>
                <w:rFonts w:hint="eastAsia" w:ascii="宋体" w:hAnsi="宋体" w:cs="宋体"/>
                <w:color w:val="000000"/>
                <w:kern w:val="0"/>
                <w:sz w:val="24"/>
                <w:szCs w:val="21"/>
              </w:rPr>
              <w:t>经办注册会计师</w:t>
            </w:r>
          </w:p>
        </w:tc>
        <w:tc>
          <w:tcPr>
            <w:tcW w:w="657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cs="宋体"/>
                <w:color w:val="000000"/>
                <w:kern w:val="0"/>
                <w:sz w:val="24"/>
                <w:szCs w:val="21"/>
              </w:rPr>
            </w:pPr>
            <w:r>
              <w:rPr>
                <w:rFonts w:hint="eastAsia" w:ascii="宋体" w:hAnsi="宋体"/>
                <w:sz w:val="24"/>
              </w:rPr>
              <w:t>陈熹、崔泽宇</w:t>
            </w:r>
          </w:p>
        </w:tc>
      </w:tr>
    </w:tbl>
    <w:p>
      <w:pPr>
        <w:pStyle w:val="2"/>
        <w:adjustRightInd w:val="0"/>
        <w:snapToGrid w:val="0"/>
        <w:spacing w:before="0" w:after="0" w:line="360" w:lineRule="auto"/>
        <w:jc w:val="center"/>
        <w:rPr>
          <w:rFonts w:ascii="宋体" w:hAnsi="宋体"/>
        </w:rPr>
      </w:pPr>
      <w:r>
        <w:rPr>
          <w:rFonts w:ascii="宋体" w:hAnsi="宋体"/>
        </w:rPr>
        <w:br w:type="page"/>
      </w:r>
      <w:bookmarkStart w:id="28" w:name="_Toc103003348"/>
      <w:r>
        <w:rPr>
          <w:rFonts w:ascii="宋体" w:hAnsi="宋体"/>
        </w:rPr>
        <w:t>第</w:t>
      </w:r>
      <w:r>
        <w:rPr>
          <w:rFonts w:hint="eastAsia" w:ascii="宋体" w:hAnsi="宋体"/>
        </w:rPr>
        <w:t>六</w:t>
      </w:r>
      <w:r>
        <w:rPr>
          <w:rFonts w:ascii="宋体" w:hAnsi="宋体"/>
        </w:rPr>
        <w:t>部分</w:t>
      </w:r>
      <w:r>
        <w:rPr>
          <w:rFonts w:hint="eastAsia" w:ascii="宋体" w:hAnsi="宋体"/>
        </w:rPr>
        <w:t xml:space="preserve">  基金的募集</w:t>
      </w:r>
      <w:bookmarkEnd w:id="28"/>
    </w:p>
    <w:p>
      <w:pPr>
        <w:spacing w:line="360" w:lineRule="auto"/>
        <w:rPr>
          <w:rFonts w:ascii="宋体" w:hAnsi="宋体"/>
        </w:rPr>
      </w:pPr>
    </w:p>
    <w:p>
      <w:pPr>
        <w:pStyle w:val="21"/>
        <w:adjustRightInd w:val="0"/>
        <w:snapToGrid w:val="0"/>
        <w:ind w:firstLine="480"/>
        <w:rPr>
          <w:rFonts w:cs="宋体"/>
          <w:sz w:val="24"/>
        </w:rPr>
      </w:pPr>
      <w:r>
        <w:rPr>
          <w:rFonts w:hint="eastAsia" w:cs="宋体"/>
          <w:sz w:val="24"/>
        </w:rPr>
        <w:t>一、基金募集的依据</w:t>
      </w:r>
    </w:p>
    <w:p>
      <w:pPr>
        <w:pStyle w:val="21"/>
        <w:adjustRightInd w:val="0"/>
        <w:snapToGrid w:val="0"/>
        <w:ind w:firstLine="480"/>
        <w:rPr>
          <w:rFonts w:cs="宋体"/>
          <w:sz w:val="24"/>
        </w:rPr>
      </w:pPr>
      <w:r>
        <w:rPr>
          <w:rFonts w:hint="eastAsia" w:cs="宋体"/>
          <w:sz w:val="24"/>
        </w:rPr>
        <w:t>本基金由基金管理人依照《基金法》、《运作办法》、《销售办法》、《信息披露办法》、基金合同及其他有关规定，经中国证监会20</w:t>
      </w:r>
      <w:r>
        <w:rPr>
          <w:rFonts w:cs="宋体"/>
          <w:sz w:val="24"/>
        </w:rPr>
        <w:t>2</w:t>
      </w:r>
      <w:r>
        <w:rPr>
          <w:rFonts w:hint="eastAsia" w:cs="宋体"/>
          <w:sz w:val="24"/>
        </w:rPr>
        <w:t>4年</w:t>
      </w:r>
      <w:r>
        <w:rPr>
          <w:rFonts w:hint="eastAsia" w:cs="宋体"/>
          <w:sz w:val="24"/>
          <w:lang w:val="en-US" w:eastAsia="zh-CN"/>
        </w:rPr>
        <w:t>3</w:t>
      </w:r>
      <w:r>
        <w:rPr>
          <w:rFonts w:hint="eastAsia" w:cs="宋体"/>
          <w:sz w:val="24"/>
        </w:rPr>
        <w:t>月</w:t>
      </w:r>
      <w:r>
        <w:rPr>
          <w:rFonts w:hint="eastAsia" w:cs="宋体"/>
          <w:sz w:val="24"/>
          <w:lang w:val="en-US" w:eastAsia="zh-CN"/>
        </w:rPr>
        <w:t>29</w:t>
      </w:r>
      <w:r>
        <w:rPr>
          <w:rFonts w:hint="eastAsia" w:cs="宋体"/>
          <w:sz w:val="24"/>
        </w:rPr>
        <w:t>日证监许可【20</w:t>
      </w:r>
      <w:r>
        <w:rPr>
          <w:rFonts w:cs="宋体"/>
          <w:sz w:val="24"/>
        </w:rPr>
        <w:t>2</w:t>
      </w:r>
      <w:r>
        <w:rPr>
          <w:rFonts w:hint="eastAsia" w:cs="宋体"/>
          <w:sz w:val="24"/>
        </w:rPr>
        <w:t>4】</w:t>
      </w:r>
      <w:r>
        <w:rPr>
          <w:rFonts w:hint="eastAsia" w:cs="宋体"/>
          <w:sz w:val="24"/>
          <w:lang w:val="en-US" w:eastAsia="zh-CN"/>
        </w:rPr>
        <w:t>509</w:t>
      </w:r>
      <w:r>
        <w:rPr>
          <w:rFonts w:hint="eastAsia" w:cs="宋体"/>
          <w:sz w:val="24"/>
        </w:rPr>
        <w:t>号文准予募集注册。</w:t>
      </w:r>
    </w:p>
    <w:p>
      <w:pPr>
        <w:pStyle w:val="21"/>
        <w:adjustRightInd w:val="0"/>
        <w:snapToGrid w:val="0"/>
        <w:ind w:firstLine="480"/>
        <w:rPr>
          <w:rFonts w:cs="宋体"/>
          <w:sz w:val="24"/>
        </w:rPr>
      </w:pPr>
      <w:r>
        <w:rPr>
          <w:rFonts w:hint="eastAsia" w:cs="宋体"/>
          <w:sz w:val="24"/>
        </w:rPr>
        <w:t>二、基金类别</w:t>
      </w:r>
    </w:p>
    <w:p>
      <w:pPr>
        <w:pStyle w:val="21"/>
        <w:adjustRightInd w:val="0"/>
        <w:snapToGrid w:val="0"/>
        <w:ind w:firstLine="480"/>
        <w:rPr>
          <w:rFonts w:cs="宋体"/>
          <w:sz w:val="24"/>
        </w:rPr>
      </w:pPr>
      <w:r>
        <w:rPr>
          <w:rFonts w:hint="eastAsia" w:cs="宋体"/>
          <w:sz w:val="24"/>
        </w:rPr>
        <w:t>ETF联接基金</w:t>
      </w:r>
    </w:p>
    <w:p>
      <w:pPr>
        <w:pStyle w:val="21"/>
        <w:adjustRightInd w:val="0"/>
        <w:snapToGrid w:val="0"/>
        <w:ind w:firstLine="480"/>
        <w:rPr>
          <w:rFonts w:cs="宋体"/>
          <w:sz w:val="24"/>
        </w:rPr>
      </w:pPr>
      <w:r>
        <w:rPr>
          <w:rFonts w:hint="eastAsia" w:cs="宋体"/>
          <w:sz w:val="24"/>
        </w:rPr>
        <w:t>三、基金的运作方式</w:t>
      </w:r>
    </w:p>
    <w:p>
      <w:pPr>
        <w:pStyle w:val="21"/>
        <w:adjustRightInd w:val="0"/>
        <w:snapToGrid w:val="0"/>
        <w:ind w:firstLine="480"/>
        <w:rPr>
          <w:rFonts w:cs="宋体"/>
          <w:sz w:val="24"/>
        </w:rPr>
      </w:pPr>
      <w:r>
        <w:rPr>
          <w:rFonts w:hint="eastAsia" w:cs="宋体"/>
          <w:sz w:val="24"/>
        </w:rPr>
        <w:t>契约型开放式</w:t>
      </w:r>
    </w:p>
    <w:p>
      <w:pPr>
        <w:pStyle w:val="21"/>
        <w:adjustRightInd w:val="0"/>
        <w:snapToGrid w:val="0"/>
        <w:ind w:firstLine="480"/>
        <w:rPr>
          <w:rFonts w:cs="宋体"/>
          <w:sz w:val="24"/>
        </w:rPr>
      </w:pPr>
      <w:r>
        <w:rPr>
          <w:rFonts w:hint="eastAsia" w:cs="宋体"/>
          <w:sz w:val="24"/>
        </w:rPr>
        <w:t>四、基金份额发售面值和认购价格</w:t>
      </w:r>
    </w:p>
    <w:p>
      <w:pPr>
        <w:pStyle w:val="21"/>
        <w:adjustRightInd w:val="0"/>
        <w:snapToGrid w:val="0"/>
        <w:ind w:firstLine="480"/>
        <w:rPr>
          <w:rFonts w:cs="宋体"/>
          <w:bCs/>
          <w:sz w:val="24"/>
        </w:rPr>
      </w:pPr>
      <w:r>
        <w:rPr>
          <w:rFonts w:hint="eastAsia" w:cs="宋体"/>
          <w:bCs/>
          <w:sz w:val="24"/>
        </w:rPr>
        <w:t>本基金基金份额发售面值为人民币1.00元。</w:t>
      </w:r>
    </w:p>
    <w:p>
      <w:pPr>
        <w:pStyle w:val="21"/>
        <w:adjustRightInd w:val="0"/>
        <w:snapToGrid w:val="0"/>
        <w:ind w:firstLine="480"/>
        <w:rPr>
          <w:rFonts w:cs="宋体"/>
          <w:bCs/>
          <w:sz w:val="24"/>
        </w:rPr>
      </w:pPr>
      <w:r>
        <w:rPr>
          <w:rFonts w:hint="eastAsia" w:cs="宋体"/>
          <w:bCs/>
          <w:sz w:val="24"/>
        </w:rPr>
        <w:t>本基金认购价格为人民币1.00元/份。</w:t>
      </w:r>
    </w:p>
    <w:p>
      <w:pPr>
        <w:pStyle w:val="21"/>
        <w:adjustRightInd w:val="0"/>
        <w:snapToGrid w:val="0"/>
        <w:ind w:firstLine="480"/>
        <w:rPr>
          <w:rFonts w:cs="宋体"/>
          <w:sz w:val="24"/>
        </w:rPr>
      </w:pPr>
      <w:r>
        <w:rPr>
          <w:rFonts w:hint="eastAsia" w:cs="宋体"/>
          <w:sz w:val="24"/>
        </w:rPr>
        <w:t>五、基金份额类别</w:t>
      </w:r>
    </w:p>
    <w:p>
      <w:pPr>
        <w:pStyle w:val="21"/>
        <w:adjustRightInd w:val="0"/>
        <w:snapToGrid w:val="0"/>
        <w:ind w:firstLine="480"/>
        <w:rPr>
          <w:bCs/>
          <w:sz w:val="24"/>
        </w:rPr>
      </w:pPr>
      <w:r>
        <w:rPr>
          <w:rFonts w:hint="eastAsia"/>
          <w:bCs/>
          <w:sz w:val="24"/>
        </w:rPr>
        <w:t>本基金将基金份额分为A类和C类不同的类别。在投资人认购、申购基金份额时收取认购、申购费用而不是从本类别基金资产中计提销售服务费的，称为A类基金份额；在投资人认购、申购基金份额时不收取认购、申购费用，而是从本类别基金资产中计提销售服务费的，称为C类基金份额。</w:t>
      </w:r>
    </w:p>
    <w:p>
      <w:pPr>
        <w:pStyle w:val="21"/>
        <w:adjustRightInd w:val="0"/>
        <w:snapToGrid w:val="0"/>
        <w:ind w:firstLine="480"/>
        <w:rPr>
          <w:bCs/>
          <w:sz w:val="24"/>
        </w:rPr>
      </w:pPr>
      <w:r>
        <w:rPr>
          <w:rFonts w:hint="eastAsia"/>
          <w:bCs/>
          <w:sz w:val="24"/>
        </w:rPr>
        <w:t>本基金A类、C类基金份额分别设置代码。由于基金费用的不同，本基金A类基金份额和C类基金份额将分别计算和公告基金份额净值。</w:t>
      </w:r>
    </w:p>
    <w:p>
      <w:pPr>
        <w:pStyle w:val="21"/>
        <w:adjustRightInd w:val="0"/>
        <w:snapToGrid w:val="0"/>
        <w:ind w:firstLine="480"/>
        <w:rPr>
          <w:bCs/>
          <w:sz w:val="24"/>
        </w:rPr>
      </w:pPr>
      <w:r>
        <w:rPr>
          <w:rFonts w:hint="eastAsia"/>
          <w:bCs/>
          <w:sz w:val="24"/>
        </w:rPr>
        <w:t>根据基金销售情况，在符合法律法规规定和基金合同约定，且不损害已有基金份额持有人权益的情况下，基金管理人在履行适当程序后可以增加新的基金份额类别，或者在法律法规和基金合同规定的范围内变更现有基金份额类别的申购费率、调低赎回费率、调低销售服务费率、变更收费方式、停止现有基金份额类别的销售等，基金管理人需在调整实施前及时公告。</w:t>
      </w:r>
    </w:p>
    <w:p>
      <w:pPr>
        <w:pStyle w:val="21"/>
        <w:adjustRightInd w:val="0"/>
        <w:snapToGrid w:val="0"/>
        <w:ind w:firstLine="480"/>
        <w:rPr>
          <w:bCs/>
          <w:sz w:val="24"/>
        </w:rPr>
      </w:pPr>
      <w:r>
        <w:rPr>
          <w:rFonts w:hint="eastAsia"/>
          <w:bCs/>
          <w:sz w:val="24"/>
        </w:rPr>
        <w:t>投资人在认购、申购基金份额时可自行选择基金份额类别。</w:t>
      </w:r>
    </w:p>
    <w:p>
      <w:pPr>
        <w:pStyle w:val="21"/>
        <w:adjustRightInd w:val="0"/>
        <w:snapToGrid w:val="0"/>
        <w:ind w:firstLine="480"/>
        <w:rPr>
          <w:rFonts w:cs="宋体"/>
          <w:sz w:val="24"/>
        </w:rPr>
      </w:pPr>
      <w:r>
        <w:rPr>
          <w:rFonts w:hint="eastAsia" w:cs="宋体"/>
          <w:sz w:val="24"/>
        </w:rPr>
        <w:t>六、基金存续期限</w:t>
      </w:r>
    </w:p>
    <w:p>
      <w:pPr>
        <w:pStyle w:val="21"/>
        <w:adjustRightInd w:val="0"/>
        <w:snapToGrid w:val="0"/>
        <w:ind w:firstLine="480"/>
        <w:rPr>
          <w:rFonts w:cs="宋体"/>
          <w:sz w:val="24"/>
        </w:rPr>
      </w:pPr>
      <w:r>
        <w:rPr>
          <w:rFonts w:hint="eastAsia" w:cs="宋体"/>
          <w:sz w:val="24"/>
        </w:rPr>
        <w:t>不定期</w:t>
      </w:r>
    </w:p>
    <w:p>
      <w:pPr>
        <w:pStyle w:val="21"/>
        <w:adjustRightInd w:val="0"/>
        <w:snapToGrid w:val="0"/>
        <w:ind w:firstLine="480"/>
        <w:rPr>
          <w:rFonts w:cs="宋体"/>
          <w:sz w:val="24"/>
        </w:rPr>
      </w:pPr>
      <w:r>
        <w:rPr>
          <w:rFonts w:hint="eastAsia" w:cs="宋体"/>
          <w:sz w:val="24"/>
        </w:rPr>
        <w:t>七、募集方式</w:t>
      </w:r>
    </w:p>
    <w:p>
      <w:pPr>
        <w:pStyle w:val="21"/>
        <w:adjustRightInd w:val="0"/>
        <w:snapToGrid w:val="0"/>
        <w:ind w:firstLine="480"/>
        <w:rPr>
          <w:rFonts w:cs="宋体"/>
          <w:sz w:val="24"/>
        </w:rPr>
      </w:pPr>
      <w:r>
        <w:rPr>
          <w:rFonts w:hint="eastAsia" w:cs="宋体"/>
          <w:sz w:val="24"/>
        </w:rPr>
        <w:t>本基金将通过各销售机构的基金销售网点公开发售或按基金管理人、销售机构提供的其他方式公开发售。本基金认购采取全额缴款认购的方式。基金投资人在募集期内可以多次认购基金份额，认购申请一经受理不得撤销。</w:t>
      </w:r>
    </w:p>
    <w:p>
      <w:pPr>
        <w:pStyle w:val="21"/>
        <w:adjustRightInd w:val="0"/>
        <w:snapToGrid w:val="0"/>
        <w:ind w:firstLine="480"/>
        <w:rPr>
          <w:rFonts w:cs="宋体"/>
          <w:sz w:val="24"/>
        </w:rPr>
      </w:pPr>
      <w:r>
        <w:rPr>
          <w:rFonts w:hint="eastAsia" w:cs="宋体"/>
          <w:sz w:val="24"/>
        </w:rPr>
        <w:t>八、募集期限</w:t>
      </w:r>
    </w:p>
    <w:p>
      <w:pPr>
        <w:pStyle w:val="21"/>
        <w:adjustRightInd w:val="0"/>
        <w:snapToGrid w:val="0"/>
        <w:ind w:firstLine="480"/>
        <w:rPr>
          <w:rFonts w:cs="宋体"/>
          <w:sz w:val="24"/>
        </w:rPr>
      </w:pPr>
      <w:r>
        <w:rPr>
          <w:rFonts w:hint="eastAsia" w:cs="宋体"/>
          <w:sz w:val="24"/>
        </w:rPr>
        <w:t>本基金募集期限自基金份额发售之日起不超过3个月。</w:t>
      </w:r>
    </w:p>
    <w:p>
      <w:pPr>
        <w:pStyle w:val="21"/>
        <w:adjustRightInd w:val="0"/>
        <w:snapToGrid w:val="0"/>
        <w:ind w:firstLine="480"/>
        <w:rPr>
          <w:rFonts w:cs="宋体"/>
          <w:sz w:val="24"/>
        </w:rPr>
      </w:pPr>
      <w:r>
        <w:rPr>
          <w:rFonts w:hint="eastAsia" w:cs="宋体"/>
          <w:sz w:val="24"/>
        </w:rPr>
        <w:t>本基金自20</w:t>
      </w:r>
      <w:r>
        <w:rPr>
          <w:rFonts w:cs="宋体"/>
          <w:sz w:val="24"/>
        </w:rPr>
        <w:t>2</w:t>
      </w:r>
      <w:r>
        <w:rPr>
          <w:rFonts w:hint="eastAsia" w:cs="宋体"/>
          <w:sz w:val="24"/>
        </w:rPr>
        <w:t>4年</w:t>
      </w:r>
      <w:r>
        <w:rPr>
          <w:rFonts w:hint="eastAsia" w:cs="宋体"/>
          <w:sz w:val="24"/>
          <w:lang w:val="en-US" w:eastAsia="zh-CN"/>
        </w:rPr>
        <w:t>4</w:t>
      </w:r>
      <w:r>
        <w:rPr>
          <w:rFonts w:hint="eastAsia" w:cs="宋体"/>
          <w:sz w:val="24"/>
        </w:rPr>
        <w:t>月</w:t>
      </w:r>
      <w:r>
        <w:rPr>
          <w:rFonts w:hint="eastAsia" w:cs="宋体"/>
          <w:sz w:val="24"/>
          <w:lang w:val="en-US" w:eastAsia="zh-CN"/>
        </w:rPr>
        <w:t>8</w:t>
      </w:r>
      <w:r>
        <w:rPr>
          <w:rFonts w:hint="eastAsia" w:cs="宋体"/>
          <w:sz w:val="24"/>
        </w:rPr>
        <w:t>日至20</w:t>
      </w:r>
      <w:r>
        <w:rPr>
          <w:rFonts w:cs="宋体"/>
          <w:sz w:val="24"/>
        </w:rPr>
        <w:t>2</w:t>
      </w:r>
      <w:r>
        <w:rPr>
          <w:rFonts w:hint="eastAsia" w:cs="宋体"/>
          <w:sz w:val="24"/>
        </w:rPr>
        <w:t>4年</w:t>
      </w:r>
      <w:r>
        <w:rPr>
          <w:rFonts w:hint="eastAsia" w:cs="宋体"/>
          <w:sz w:val="24"/>
          <w:lang w:val="en-US" w:eastAsia="zh-CN"/>
        </w:rPr>
        <w:t>5</w:t>
      </w:r>
      <w:r>
        <w:rPr>
          <w:rFonts w:hint="eastAsia" w:cs="宋体"/>
          <w:sz w:val="24"/>
        </w:rPr>
        <w:t>月</w:t>
      </w:r>
      <w:r>
        <w:rPr>
          <w:rFonts w:hint="eastAsia" w:cs="宋体"/>
          <w:sz w:val="24"/>
          <w:lang w:val="en-US" w:eastAsia="zh-CN"/>
        </w:rPr>
        <w:t>10</w:t>
      </w:r>
      <w:r>
        <w:rPr>
          <w:rFonts w:hint="eastAsia" w:cs="宋体"/>
          <w:sz w:val="24"/>
        </w:rPr>
        <w:t>日进行发售。如果在此期间届满时未达到本招募说明书第七部分第一条规定的基金备案条件，基金可在募集期限内继续销售。基金管理人也可根据基金销售情况，在符合相关法律法规的情况下，在募集期限内调整基金发售时间，并及时公告。</w:t>
      </w:r>
    </w:p>
    <w:p>
      <w:pPr>
        <w:pStyle w:val="21"/>
        <w:adjustRightInd w:val="0"/>
        <w:snapToGrid w:val="0"/>
        <w:ind w:firstLine="480"/>
        <w:rPr>
          <w:rFonts w:cs="宋体"/>
          <w:sz w:val="24"/>
        </w:rPr>
      </w:pPr>
      <w:r>
        <w:rPr>
          <w:rFonts w:hint="eastAsia" w:cs="宋体"/>
          <w:sz w:val="24"/>
        </w:rPr>
        <w:t>九、募集对象</w:t>
      </w:r>
    </w:p>
    <w:p>
      <w:pPr>
        <w:adjustRightInd w:val="0"/>
        <w:snapToGrid w:val="0"/>
        <w:spacing w:line="360" w:lineRule="auto"/>
        <w:ind w:firstLine="480" w:firstLineChars="200"/>
        <w:rPr>
          <w:rFonts w:ascii="宋体" w:hAnsi="宋体"/>
          <w:bCs/>
          <w:sz w:val="24"/>
        </w:rPr>
      </w:pPr>
      <w:r>
        <w:rPr>
          <w:rFonts w:ascii="宋体" w:hAnsi="宋体"/>
          <w:bCs/>
          <w:sz w:val="24"/>
        </w:rPr>
        <w:t>符合法律法规规定的可投资于证券投资基金的个人投资者、机构投资者</w:t>
      </w:r>
      <w:r>
        <w:rPr>
          <w:rFonts w:hint="eastAsia" w:ascii="宋体" w:hAnsi="宋体"/>
          <w:bCs/>
          <w:sz w:val="24"/>
        </w:rPr>
        <w:t>、</w:t>
      </w:r>
      <w:r>
        <w:rPr>
          <w:rFonts w:ascii="宋体" w:hAnsi="宋体"/>
          <w:bCs/>
          <w:sz w:val="24"/>
        </w:rPr>
        <w:t>合格境外投资者以及法律法规或中国证监会允许购买证券投资基金的其他投资人</w:t>
      </w:r>
      <w:r>
        <w:rPr>
          <w:rFonts w:hint="eastAsia" w:ascii="宋体" w:hAnsi="宋体"/>
          <w:bCs/>
          <w:sz w:val="24"/>
        </w:rPr>
        <w:t>。</w:t>
      </w:r>
    </w:p>
    <w:p>
      <w:pPr>
        <w:pStyle w:val="21"/>
        <w:adjustRightInd w:val="0"/>
        <w:snapToGrid w:val="0"/>
        <w:ind w:firstLine="480"/>
        <w:rPr>
          <w:rFonts w:cs="宋体"/>
          <w:sz w:val="24"/>
        </w:rPr>
      </w:pPr>
      <w:r>
        <w:rPr>
          <w:rFonts w:hint="eastAsia" w:cs="宋体"/>
          <w:sz w:val="24"/>
        </w:rPr>
        <w:t>十、募集场所</w:t>
      </w:r>
    </w:p>
    <w:p>
      <w:pPr>
        <w:pStyle w:val="21"/>
        <w:adjustRightInd w:val="0"/>
        <w:snapToGrid w:val="0"/>
        <w:ind w:firstLine="480"/>
        <w:rPr>
          <w:rFonts w:cs="宋体"/>
          <w:sz w:val="24"/>
        </w:rPr>
      </w:pPr>
      <w:r>
        <w:rPr>
          <w:rFonts w:hint="eastAsia" w:cs="宋体"/>
          <w:sz w:val="24"/>
        </w:rPr>
        <w:t>在基金募集期内，本基金将通过基金管理人的直销中心、网上直销交易系统及其他基金销售机构的销售网点发售（具体名单详见基金份额发售公告以及基金管理人网站公示）。</w:t>
      </w:r>
    </w:p>
    <w:p>
      <w:pPr>
        <w:pStyle w:val="21"/>
        <w:adjustRightInd w:val="0"/>
        <w:snapToGrid w:val="0"/>
        <w:ind w:firstLine="480"/>
        <w:rPr>
          <w:rFonts w:cs="宋体"/>
          <w:sz w:val="24"/>
        </w:rPr>
      </w:pPr>
      <w:r>
        <w:rPr>
          <w:rFonts w:hint="eastAsia" w:cs="宋体"/>
          <w:sz w:val="24"/>
        </w:rPr>
        <w:t>基金管理人可以根据情况变更、增减销售机构，并在基金管理人网站公示。</w:t>
      </w:r>
    </w:p>
    <w:p>
      <w:pPr>
        <w:pStyle w:val="21"/>
        <w:adjustRightInd w:val="0"/>
        <w:snapToGrid w:val="0"/>
        <w:ind w:firstLine="480"/>
        <w:rPr>
          <w:rFonts w:cs="宋体"/>
          <w:sz w:val="24"/>
        </w:rPr>
      </w:pPr>
      <w:r>
        <w:rPr>
          <w:rFonts w:hint="eastAsia" w:cs="宋体"/>
          <w:sz w:val="24"/>
        </w:rPr>
        <w:t>十一、基金的最低募集份额总额和金额</w:t>
      </w:r>
    </w:p>
    <w:p>
      <w:pPr>
        <w:pStyle w:val="21"/>
        <w:adjustRightInd w:val="0"/>
        <w:snapToGrid w:val="0"/>
        <w:ind w:firstLine="480"/>
        <w:rPr>
          <w:rFonts w:cs="宋体"/>
          <w:sz w:val="24"/>
        </w:rPr>
      </w:pPr>
      <w:r>
        <w:rPr>
          <w:rFonts w:hint="eastAsia" w:cs="宋体"/>
          <w:sz w:val="24"/>
        </w:rPr>
        <w:t>本基金的最低募集份额总额为2亿份，基金募集金额不少于2亿元人民币。</w:t>
      </w:r>
    </w:p>
    <w:p>
      <w:pPr>
        <w:pStyle w:val="21"/>
        <w:adjustRightInd w:val="0"/>
        <w:snapToGrid w:val="0"/>
        <w:ind w:firstLine="480"/>
        <w:rPr>
          <w:rFonts w:cs="宋体"/>
          <w:sz w:val="24"/>
        </w:rPr>
      </w:pPr>
      <w:r>
        <w:rPr>
          <w:rFonts w:hint="eastAsia" w:cs="宋体"/>
          <w:sz w:val="24"/>
        </w:rPr>
        <w:t>法律法规和监管机构另有规定的除外。</w:t>
      </w:r>
    </w:p>
    <w:p>
      <w:pPr>
        <w:pStyle w:val="21"/>
        <w:adjustRightInd w:val="0"/>
        <w:snapToGrid w:val="0"/>
        <w:ind w:firstLine="480"/>
        <w:rPr>
          <w:rFonts w:cs="宋体"/>
          <w:sz w:val="24"/>
        </w:rPr>
      </w:pPr>
      <w:r>
        <w:rPr>
          <w:rFonts w:hint="eastAsia" w:cs="宋体"/>
          <w:sz w:val="24"/>
        </w:rPr>
        <w:t>十二、投资人对基金份额的认购</w:t>
      </w:r>
    </w:p>
    <w:p>
      <w:pPr>
        <w:pStyle w:val="21"/>
        <w:adjustRightInd w:val="0"/>
        <w:snapToGrid w:val="0"/>
        <w:ind w:firstLine="480"/>
        <w:rPr>
          <w:rFonts w:cs="宋体"/>
          <w:sz w:val="24"/>
        </w:rPr>
      </w:pPr>
      <w:r>
        <w:rPr>
          <w:rFonts w:hint="eastAsia" w:cs="宋体"/>
          <w:sz w:val="24"/>
        </w:rPr>
        <w:t>1、认购时间安排：</w:t>
      </w:r>
    </w:p>
    <w:p>
      <w:pPr>
        <w:pStyle w:val="21"/>
        <w:adjustRightInd w:val="0"/>
        <w:snapToGrid w:val="0"/>
        <w:ind w:firstLine="480"/>
        <w:rPr>
          <w:rFonts w:cs="宋体"/>
          <w:sz w:val="24"/>
        </w:rPr>
      </w:pPr>
      <w:r>
        <w:rPr>
          <w:rFonts w:hint="eastAsia" w:cs="宋体"/>
          <w:sz w:val="24"/>
        </w:rPr>
        <w:t>本基金认购时间为20</w:t>
      </w:r>
      <w:r>
        <w:rPr>
          <w:rFonts w:cs="宋体"/>
          <w:sz w:val="24"/>
        </w:rPr>
        <w:t>2</w:t>
      </w:r>
      <w:r>
        <w:rPr>
          <w:rFonts w:hint="eastAsia" w:cs="宋体"/>
          <w:sz w:val="24"/>
        </w:rPr>
        <w:t>4年</w:t>
      </w:r>
      <w:r>
        <w:rPr>
          <w:rFonts w:hint="eastAsia" w:cs="宋体"/>
          <w:sz w:val="24"/>
          <w:lang w:val="en-US" w:eastAsia="zh-CN"/>
        </w:rPr>
        <w:t>4</w:t>
      </w:r>
      <w:r>
        <w:rPr>
          <w:rFonts w:hint="eastAsia" w:cs="宋体"/>
          <w:sz w:val="24"/>
        </w:rPr>
        <w:t>月</w:t>
      </w:r>
      <w:r>
        <w:rPr>
          <w:rFonts w:hint="eastAsia" w:cs="宋体"/>
          <w:sz w:val="24"/>
          <w:lang w:val="en-US" w:eastAsia="zh-CN"/>
        </w:rPr>
        <w:t>8</w:t>
      </w:r>
      <w:r>
        <w:rPr>
          <w:rFonts w:hint="eastAsia" w:cs="宋体"/>
          <w:sz w:val="24"/>
        </w:rPr>
        <w:t>日至20</w:t>
      </w:r>
      <w:r>
        <w:rPr>
          <w:rFonts w:cs="宋体"/>
          <w:sz w:val="24"/>
        </w:rPr>
        <w:t>2</w:t>
      </w:r>
      <w:r>
        <w:rPr>
          <w:rFonts w:hint="eastAsia" w:cs="宋体"/>
          <w:sz w:val="24"/>
        </w:rPr>
        <w:t>4年</w:t>
      </w:r>
      <w:r>
        <w:rPr>
          <w:rFonts w:hint="eastAsia" w:cs="宋体"/>
          <w:sz w:val="24"/>
          <w:lang w:val="en-US" w:eastAsia="zh-CN"/>
        </w:rPr>
        <w:t>5</w:t>
      </w:r>
      <w:r>
        <w:rPr>
          <w:rFonts w:hint="eastAsia" w:cs="宋体"/>
          <w:sz w:val="24"/>
        </w:rPr>
        <w:t>月</w:t>
      </w:r>
      <w:r>
        <w:rPr>
          <w:rFonts w:hint="eastAsia" w:cs="宋体"/>
          <w:sz w:val="24"/>
          <w:lang w:val="en-US" w:eastAsia="zh-CN"/>
        </w:rPr>
        <w:t>10</w:t>
      </w:r>
      <w:r>
        <w:rPr>
          <w:rFonts w:hint="eastAsia" w:cs="宋体"/>
          <w:sz w:val="24"/>
        </w:rPr>
        <w:t>日。如遇突发事件，发售时间可适当调整，并进行公告。</w:t>
      </w:r>
    </w:p>
    <w:p>
      <w:pPr>
        <w:pStyle w:val="21"/>
        <w:adjustRightInd w:val="0"/>
        <w:snapToGrid w:val="0"/>
        <w:ind w:firstLine="480"/>
        <w:rPr>
          <w:rFonts w:cs="宋体"/>
          <w:sz w:val="24"/>
        </w:rPr>
      </w:pPr>
      <w:r>
        <w:rPr>
          <w:rFonts w:hint="eastAsia" w:cs="宋体"/>
          <w:sz w:val="24"/>
        </w:rPr>
        <w:t>各个销售机构在本基金发售募集期内对于个人投资者或机构投资者的具体业务办理时间可能不同，若基金份额发售公告没有明确规定，则由各销售机构自行决定每天的业务办理时间。</w:t>
      </w:r>
    </w:p>
    <w:p>
      <w:pPr>
        <w:pStyle w:val="21"/>
        <w:adjustRightInd w:val="0"/>
        <w:snapToGrid w:val="0"/>
        <w:ind w:firstLine="480"/>
        <w:rPr>
          <w:rFonts w:cs="宋体"/>
          <w:sz w:val="24"/>
        </w:rPr>
      </w:pPr>
      <w:r>
        <w:rPr>
          <w:rFonts w:hint="eastAsia" w:cs="宋体"/>
          <w:sz w:val="24"/>
        </w:rPr>
        <w:t>根据法</w:t>
      </w:r>
      <w:bookmarkStart w:id="29" w:name="_Hlk130210711"/>
      <w:r>
        <w:rPr>
          <w:rFonts w:hint="eastAsia" w:cs="宋体"/>
          <w:sz w:val="24"/>
        </w:rPr>
        <w:t>律法规的规定与基金合同的约定</w:t>
      </w:r>
      <w:bookmarkEnd w:id="29"/>
      <w:r>
        <w:rPr>
          <w:rFonts w:hint="eastAsia" w:cs="宋体"/>
          <w:sz w:val="24"/>
        </w:rPr>
        <w:t>，如果基金</w:t>
      </w:r>
      <w:r>
        <w:rPr>
          <w:rFonts w:cs="宋体"/>
          <w:sz w:val="24"/>
        </w:rPr>
        <w:t>募集</w:t>
      </w:r>
      <w:r>
        <w:rPr>
          <w:rFonts w:hint="eastAsia" w:cs="宋体"/>
          <w:sz w:val="24"/>
        </w:rPr>
        <w:t>达到基金备案条件，基金合同自基金管理人办理完毕基金备案手续并取得中国证监会书面确认之日起生效。如果未达到前述条件，基金可在上述定明的募集期限内继续销售，直到达到条件并经备案后宣布基金合同生效。基金管理人可根据募集情况，在符合相关法律法规的情况下，在募集期限内调整本基金的发售时间，但最长不超过法定募集期限并及时公告。</w:t>
      </w:r>
    </w:p>
    <w:p>
      <w:pPr>
        <w:pStyle w:val="21"/>
        <w:adjustRightInd w:val="0"/>
        <w:snapToGrid w:val="0"/>
        <w:ind w:firstLine="480"/>
        <w:rPr>
          <w:rFonts w:cs="宋体"/>
          <w:sz w:val="24"/>
        </w:rPr>
      </w:pPr>
      <w:r>
        <w:rPr>
          <w:rFonts w:hint="eastAsia" w:cs="宋体"/>
          <w:sz w:val="24"/>
        </w:rPr>
        <w:t>具体发售方案以本基金的基金份额发售公告为准，请基金投资人就发售和购买事宜仔细阅读本基金的基金份额发售公告及相关公告。</w:t>
      </w:r>
    </w:p>
    <w:p>
      <w:pPr>
        <w:pStyle w:val="21"/>
        <w:adjustRightInd w:val="0"/>
        <w:snapToGrid w:val="0"/>
        <w:ind w:firstLine="480"/>
        <w:rPr>
          <w:rFonts w:cs="宋体"/>
          <w:sz w:val="24"/>
        </w:rPr>
      </w:pPr>
      <w:r>
        <w:rPr>
          <w:rFonts w:hint="eastAsia" w:cs="宋体"/>
          <w:sz w:val="24"/>
        </w:rPr>
        <w:t>2、认购原则</w:t>
      </w:r>
    </w:p>
    <w:p>
      <w:pPr>
        <w:pStyle w:val="21"/>
        <w:adjustRightInd w:val="0"/>
        <w:snapToGrid w:val="0"/>
        <w:ind w:firstLine="480"/>
        <w:rPr>
          <w:rFonts w:cs="宋体"/>
          <w:sz w:val="24"/>
        </w:rPr>
      </w:pPr>
      <w:r>
        <w:rPr>
          <w:rFonts w:hint="eastAsia" w:cs="宋体"/>
          <w:sz w:val="24"/>
        </w:rPr>
        <w:t>（1）基金认购采用“金额认购、份额确认”的方式；</w:t>
      </w:r>
    </w:p>
    <w:p>
      <w:pPr>
        <w:pStyle w:val="21"/>
        <w:adjustRightInd w:val="0"/>
        <w:snapToGrid w:val="0"/>
        <w:ind w:firstLine="480"/>
        <w:rPr>
          <w:rFonts w:cs="宋体"/>
          <w:sz w:val="24"/>
        </w:rPr>
      </w:pPr>
      <w:r>
        <w:rPr>
          <w:rFonts w:hint="eastAsia" w:cs="宋体"/>
          <w:sz w:val="24"/>
        </w:rPr>
        <w:t>（2）投资人认购时，需按销售机构规定的方式全额缴款；</w:t>
      </w:r>
    </w:p>
    <w:p>
      <w:pPr>
        <w:pStyle w:val="21"/>
        <w:adjustRightInd w:val="0"/>
        <w:snapToGrid w:val="0"/>
        <w:ind w:firstLine="480"/>
        <w:rPr>
          <w:rFonts w:cs="宋体"/>
          <w:sz w:val="24"/>
        </w:rPr>
      </w:pPr>
      <w:r>
        <w:rPr>
          <w:rFonts w:hint="eastAsia" w:cs="宋体"/>
          <w:sz w:val="24"/>
        </w:rPr>
        <w:t>（3）投资人在募集期内可以多次认购基金份额，但</w:t>
      </w:r>
      <w:r>
        <w:rPr>
          <w:rFonts w:hint="eastAsia" w:cs="宋体"/>
          <w:bCs/>
          <w:sz w:val="24"/>
        </w:rPr>
        <w:t>已受理的认购申请不允许撤销，A类基金份额的</w:t>
      </w:r>
      <w:r>
        <w:rPr>
          <w:rFonts w:hint="eastAsia" w:cs="宋体"/>
          <w:sz w:val="24"/>
        </w:rPr>
        <w:t>认购费率按每笔认购申请单独计算；</w:t>
      </w:r>
    </w:p>
    <w:p>
      <w:pPr>
        <w:pStyle w:val="21"/>
        <w:adjustRightInd w:val="0"/>
        <w:snapToGrid w:val="0"/>
        <w:ind w:firstLine="480"/>
        <w:rPr>
          <w:rFonts w:cs="宋体"/>
          <w:sz w:val="24"/>
        </w:rPr>
      </w:pPr>
      <w:r>
        <w:rPr>
          <w:rFonts w:hint="eastAsia" w:cs="宋体"/>
          <w:sz w:val="24"/>
        </w:rPr>
        <w:t>（4）认购期间本基金管理人有权对单个投资人的累计认购规模设置上限，且需满足本基金关于募集上限和基金备案条件的相关规定。</w:t>
      </w:r>
    </w:p>
    <w:p>
      <w:pPr>
        <w:pStyle w:val="21"/>
        <w:adjustRightInd w:val="0"/>
        <w:snapToGrid w:val="0"/>
        <w:ind w:firstLine="480"/>
        <w:rPr>
          <w:rFonts w:cs="宋体"/>
          <w:sz w:val="24"/>
        </w:rPr>
      </w:pPr>
      <w:r>
        <w:rPr>
          <w:rFonts w:hint="eastAsia" w:cs="宋体"/>
          <w:sz w:val="24"/>
        </w:rPr>
        <w:t>3、认购限额</w:t>
      </w:r>
    </w:p>
    <w:p>
      <w:pPr>
        <w:pStyle w:val="21"/>
        <w:adjustRightInd w:val="0"/>
        <w:snapToGrid w:val="0"/>
        <w:ind w:firstLine="480"/>
        <w:rPr>
          <w:rFonts w:cs="宋体"/>
          <w:sz w:val="24"/>
        </w:rPr>
      </w:pPr>
      <w:r>
        <w:rPr>
          <w:rFonts w:hint="eastAsia" w:cs="宋体"/>
          <w:sz w:val="24"/>
        </w:rPr>
        <w:t>在本基金销售机构的销售网点及网上直销交易系统进行认购时，投资人以金额申请，每个基金账户首笔认购的最低金额为人民币1元，每笔追加认购的最低金额为人民币1元。直销中心办理业务时以其相关规则为准。基金管理人直销机构或各销售机构对最低认购限额及交易级差另有规定的，从其规定，但不得低于上述最低认购金额。基金管理人可根据市场情况，调整本基金首笔认购和每笔追加认购的最低金额。</w:t>
      </w:r>
    </w:p>
    <w:p>
      <w:pPr>
        <w:pStyle w:val="21"/>
        <w:adjustRightInd w:val="0"/>
        <w:snapToGrid w:val="0"/>
        <w:ind w:firstLine="480"/>
        <w:rPr>
          <w:rFonts w:cs="宋体"/>
          <w:sz w:val="24"/>
        </w:rPr>
      </w:pPr>
      <w:r>
        <w:rPr>
          <w:rFonts w:cs="宋体"/>
          <w:sz w:val="24"/>
        </w:rPr>
        <w:t>本基金可设置募集规模上限</w:t>
      </w:r>
      <w:r>
        <w:rPr>
          <w:rFonts w:hint="eastAsia" w:cs="宋体"/>
          <w:sz w:val="24"/>
        </w:rPr>
        <w:t>，</w:t>
      </w:r>
      <w:r>
        <w:rPr>
          <w:rFonts w:cs="宋体"/>
          <w:sz w:val="24"/>
        </w:rPr>
        <w:t>具体规模上限及规模控制的方案详见基金份额发售公告或其他公告</w:t>
      </w:r>
      <w:r>
        <w:rPr>
          <w:rFonts w:hint="eastAsia" w:cs="宋体"/>
          <w:sz w:val="24"/>
        </w:rPr>
        <w:t>。</w:t>
      </w:r>
    </w:p>
    <w:p>
      <w:pPr>
        <w:pStyle w:val="21"/>
        <w:adjustRightInd w:val="0"/>
        <w:snapToGrid w:val="0"/>
        <w:ind w:firstLine="480"/>
        <w:rPr>
          <w:rFonts w:cs="宋体"/>
          <w:sz w:val="24"/>
        </w:rPr>
      </w:pPr>
      <w:r>
        <w:rPr>
          <w:rFonts w:hint="eastAsia" w:cs="宋体"/>
          <w:sz w:val="24"/>
        </w:rPr>
        <w:t>4、销售机构认购业务的办理网点、办理日期和时间等事项参照各销售机构的具体规定。</w:t>
      </w:r>
    </w:p>
    <w:p>
      <w:pPr>
        <w:pStyle w:val="21"/>
        <w:adjustRightInd w:val="0"/>
        <w:snapToGrid w:val="0"/>
        <w:ind w:firstLine="480"/>
        <w:rPr>
          <w:rFonts w:cs="宋体"/>
          <w:sz w:val="24"/>
        </w:rPr>
      </w:pPr>
      <w:r>
        <w:rPr>
          <w:rFonts w:hint="eastAsia" w:cs="宋体"/>
          <w:sz w:val="24"/>
        </w:rPr>
        <w:t>5、投资人认购应提交的文件和办理的手续</w:t>
      </w:r>
    </w:p>
    <w:p>
      <w:pPr>
        <w:pStyle w:val="21"/>
        <w:adjustRightInd w:val="0"/>
        <w:snapToGrid w:val="0"/>
        <w:ind w:firstLine="480"/>
        <w:rPr>
          <w:rFonts w:cs="宋体"/>
          <w:sz w:val="24"/>
        </w:rPr>
      </w:pPr>
      <w:r>
        <w:rPr>
          <w:rFonts w:hint="eastAsia" w:cs="宋体"/>
          <w:sz w:val="24"/>
        </w:rPr>
        <w:t>投资人认购本基金应首先办理开户手续，开立基金账户（已开立银华基金管理股份有限公司基金账户的投资人无需重新开户），然后办理基金认购手续。</w:t>
      </w:r>
    </w:p>
    <w:p>
      <w:pPr>
        <w:pStyle w:val="21"/>
        <w:adjustRightInd w:val="0"/>
        <w:snapToGrid w:val="0"/>
        <w:ind w:firstLine="480"/>
        <w:rPr>
          <w:rFonts w:cs="宋体"/>
          <w:sz w:val="24"/>
        </w:rPr>
      </w:pPr>
      <w:r>
        <w:rPr>
          <w:rFonts w:hint="eastAsia" w:cs="宋体"/>
          <w:sz w:val="24"/>
        </w:rPr>
        <w:t>投资人认购应提交的文件和办理的手续请详细查阅本基金的基金份额发售公告或各销售机构相关业务办理规则。</w:t>
      </w:r>
    </w:p>
    <w:p>
      <w:pPr>
        <w:pStyle w:val="21"/>
        <w:adjustRightInd w:val="0"/>
        <w:snapToGrid w:val="0"/>
        <w:ind w:firstLine="480"/>
        <w:rPr>
          <w:rFonts w:cs="宋体"/>
          <w:sz w:val="24"/>
        </w:rPr>
      </w:pPr>
      <w:r>
        <w:rPr>
          <w:rFonts w:hint="eastAsia" w:cs="宋体"/>
          <w:sz w:val="24"/>
        </w:rPr>
        <w:t>十三、基金的认购费用</w:t>
      </w:r>
    </w:p>
    <w:p>
      <w:pPr>
        <w:pStyle w:val="21"/>
        <w:adjustRightInd w:val="0"/>
        <w:snapToGrid w:val="0"/>
        <w:ind w:firstLineChars="0"/>
        <w:rPr>
          <w:rFonts w:cs="宋体"/>
          <w:sz w:val="24"/>
        </w:rPr>
      </w:pPr>
      <w:r>
        <w:rPr>
          <w:rFonts w:hint="eastAsia" w:cs="宋体"/>
          <w:sz w:val="24"/>
        </w:rPr>
        <w:t>本基金的A类基金份额在认购时收取认购费用，C类基金份额不收取认购费用。投资人认购本基金A类基金份额时所适用认购费率如下表所示：</w:t>
      </w:r>
    </w:p>
    <w:tbl>
      <w:tblPr>
        <w:tblStyle w:val="35"/>
        <w:tblW w:w="849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089"/>
        <w:gridCol w:w="3114"/>
        <w:gridCol w:w="32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0" w:hRule="atLeast"/>
          <w:jc w:val="center"/>
        </w:trPr>
        <w:tc>
          <w:tcPr>
            <w:tcW w:w="2089" w:type="dxa"/>
            <w:vMerge w:val="restart"/>
            <w:tcMar>
              <w:top w:w="15" w:type="dxa"/>
              <w:left w:w="15" w:type="dxa"/>
              <w:bottom w:w="0" w:type="dxa"/>
              <w:right w:w="15" w:type="dxa"/>
            </w:tcMar>
            <w:vAlign w:val="center"/>
          </w:tcPr>
          <w:p>
            <w:pPr>
              <w:pStyle w:val="21"/>
              <w:adjustRightInd w:val="0"/>
              <w:snapToGrid w:val="0"/>
              <w:ind w:firstLine="0" w:firstLineChars="0"/>
              <w:jc w:val="center"/>
              <w:rPr>
                <w:b/>
                <w:sz w:val="24"/>
              </w:rPr>
            </w:pPr>
            <w:r>
              <w:rPr>
                <w:rFonts w:hint="eastAsia"/>
                <w:b/>
                <w:sz w:val="24"/>
              </w:rPr>
              <w:t>A类基金份额</w:t>
            </w:r>
          </w:p>
          <w:p>
            <w:pPr>
              <w:pStyle w:val="21"/>
              <w:adjustRightInd w:val="0"/>
              <w:snapToGrid w:val="0"/>
              <w:ind w:firstLine="0" w:firstLineChars="0"/>
              <w:jc w:val="center"/>
              <w:rPr>
                <w:sz w:val="24"/>
              </w:rPr>
            </w:pPr>
            <w:r>
              <w:rPr>
                <w:rFonts w:hint="eastAsia"/>
                <w:b/>
                <w:sz w:val="24"/>
              </w:rPr>
              <w:t>认购费率</w:t>
            </w:r>
          </w:p>
        </w:tc>
        <w:tc>
          <w:tcPr>
            <w:tcW w:w="3114" w:type="dxa"/>
            <w:tcMar>
              <w:top w:w="15" w:type="dxa"/>
              <w:left w:w="15" w:type="dxa"/>
              <w:bottom w:w="0" w:type="dxa"/>
              <w:right w:w="15" w:type="dxa"/>
            </w:tcMar>
            <w:vAlign w:val="center"/>
          </w:tcPr>
          <w:p>
            <w:pPr>
              <w:pStyle w:val="21"/>
              <w:adjustRightInd w:val="0"/>
              <w:snapToGrid w:val="0"/>
              <w:ind w:firstLine="480" w:firstLineChars="0"/>
              <w:jc w:val="center"/>
              <w:rPr>
                <w:b/>
                <w:sz w:val="24"/>
              </w:rPr>
            </w:pPr>
            <w:r>
              <w:rPr>
                <w:rFonts w:hint="eastAsia"/>
                <w:b/>
                <w:sz w:val="24"/>
              </w:rPr>
              <w:t>认购金额（</w:t>
            </w:r>
            <w:r>
              <w:rPr>
                <w:b/>
                <w:sz w:val="24"/>
              </w:rPr>
              <w:t>M,</w:t>
            </w:r>
            <w:r>
              <w:rPr>
                <w:rFonts w:hint="eastAsia"/>
                <w:b/>
                <w:sz w:val="24"/>
              </w:rPr>
              <w:t>含认购费）</w:t>
            </w:r>
          </w:p>
        </w:tc>
        <w:tc>
          <w:tcPr>
            <w:tcW w:w="3294" w:type="dxa"/>
            <w:vAlign w:val="center"/>
          </w:tcPr>
          <w:p>
            <w:pPr>
              <w:pStyle w:val="21"/>
              <w:adjustRightInd w:val="0"/>
              <w:snapToGrid w:val="0"/>
              <w:ind w:firstLine="480" w:firstLineChars="0"/>
              <w:jc w:val="center"/>
              <w:rPr>
                <w:b/>
                <w:sz w:val="24"/>
              </w:rPr>
            </w:pPr>
            <w:r>
              <w:rPr>
                <w:rFonts w:hint="eastAsia"/>
                <w:b/>
                <w:sz w:val="24"/>
              </w:rPr>
              <w:t>认购费率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4" w:hRule="atLeast"/>
          <w:jc w:val="center"/>
        </w:trPr>
        <w:tc>
          <w:tcPr>
            <w:tcW w:w="2089" w:type="dxa"/>
            <w:vMerge w:val="continue"/>
            <w:tcMar>
              <w:top w:w="15" w:type="dxa"/>
              <w:left w:w="15" w:type="dxa"/>
              <w:bottom w:w="0" w:type="dxa"/>
              <w:right w:w="15" w:type="dxa"/>
            </w:tcMar>
            <w:vAlign w:val="center"/>
          </w:tcPr>
          <w:p>
            <w:pPr>
              <w:pStyle w:val="21"/>
              <w:adjustRightInd w:val="0"/>
              <w:snapToGrid w:val="0"/>
              <w:ind w:firstLine="0" w:firstLineChars="0"/>
              <w:jc w:val="center"/>
              <w:rPr>
                <w:sz w:val="24"/>
              </w:rPr>
            </w:pPr>
          </w:p>
        </w:tc>
        <w:tc>
          <w:tcPr>
            <w:tcW w:w="3114" w:type="dxa"/>
            <w:tcMar>
              <w:top w:w="15" w:type="dxa"/>
              <w:left w:w="15" w:type="dxa"/>
              <w:bottom w:w="0" w:type="dxa"/>
              <w:right w:w="15" w:type="dxa"/>
            </w:tcMar>
          </w:tcPr>
          <w:p>
            <w:pPr>
              <w:pStyle w:val="21"/>
              <w:adjustRightInd w:val="0"/>
              <w:snapToGrid w:val="0"/>
              <w:ind w:firstLine="0" w:firstLineChars="0"/>
              <w:jc w:val="center"/>
              <w:rPr>
                <w:sz w:val="24"/>
              </w:rPr>
            </w:pPr>
            <w:r>
              <w:rPr>
                <w:rFonts w:hint="eastAsia"/>
                <w:sz w:val="24"/>
              </w:rPr>
              <w:t>M＜100万元</w:t>
            </w:r>
          </w:p>
        </w:tc>
        <w:tc>
          <w:tcPr>
            <w:tcW w:w="3294" w:type="dxa"/>
          </w:tcPr>
          <w:p>
            <w:pPr>
              <w:pStyle w:val="21"/>
              <w:adjustRightInd w:val="0"/>
              <w:snapToGrid w:val="0"/>
              <w:ind w:firstLine="0" w:firstLineChars="0"/>
              <w:jc w:val="center"/>
              <w:rPr>
                <w:sz w:val="24"/>
              </w:rPr>
            </w:pPr>
            <w:r>
              <w:rPr>
                <w:sz w:val="24"/>
              </w:rPr>
              <w:t>0.80</w:t>
            </w:r>
            <w:r>
              <w:rPr>
                <w:rFonts w:hint="eastAsia"/>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 w:hRule="atLeast"/>
          <w:jc w:val="center"/>
        </w:trPr>
        <w:tc>
          <w:tcPr>
            <w:tcW w:w="2089" w:type="dxa"/>
            <w:vMerge w:val="continue"/>
            <w:tcMar>
              <w:top w:w="15" w:type="dxa"/>
              <w:left w:w="15" w:type="dxa"/>
              <w:bottom w:w="0" w:type="dxa"/>
              <w:right w:w="15" w:type="dxa"/>
            </w:tcMar>
            <w:vAlign w:val="center"/>
          </w:tcPr>
          <w:p>
            <w:pPr>
              <w:pStyle w:val="21"/>
              <w:adjustRightInd w:val="0"/>
              <w:snapToGrid w:val="0"/>
              <w:ind w:firstLine="0" w:firstLineChars="0"/>
              <w:jc w:val="center"/>
              <w:rPr>
                <w:sz w:val="24"/>
              </w:rPr>
            </w:pPr>
          </w:p>
        </w:tc>
        <w:tc>
          <w:tcPr>
            <w:tcW w:w="3114" w:type="dxa"/>
            <w:tcMar>
              <w:top w:w="15" w:type="dxa"/>
              <w:left w:w="15" w:type="dxa"/>
              <w:bottom w:w="0" w:type="dxa"/>
              <w:right w:w="15" w:type="dxa"/>
            </w:tcMar>
          </w:tcPr>
          <w:p>
            <w:pPr>
              <w:pStyle w:val="21"/>
              <w:adjustRightInd w:val="0"/>
              <w:snapToGrid w:val="0"/>
              <w:ind w:firstLine="0" w:firstLineChars="0"/>
              <w:jc w:val="center"/>
              <w:rPr>
                <w:sz w:val="24"/>
              </w:rPr>
            </w:pPr>
            <w:r>
              <w:rPr>
                <w:sz w:val="24"/>
                <w:szCs w:val="24"/>
              </w:rPr>
              <w:t>1</w:t>
            </w:r>
            <w:r>
              <w:rPr>
                <w:rFonts w:hint="eastAsia"/>
                <w:sz w:val="24"/>
                <w:szCs w:val="24"/>
              </w:rPr>
              <w:t>00万元≤M＜500万元</w:t>
            </w:r>
          </w:p>
        </w:tc>
        <w:tc>
          <w:tcPr>
            <w:tcW w:w="3294" w:type="dxa"/>
            <w:vAlign w:val="center"/>
          </w:tcPr>
          <w:p>
            <w:pPr>
              <w:pStyle w:val="21"/>
              <w:adjustRightInd w:val="0"/>
              <w:snapToGrid w:val="0"/>
              <w:ind w:firstLine="0" w:firstLineChars="0"/>
              <w:jc w:val="center"/>
              <w:rPr>
                <w:sz w:val="24"/>
              </w:rPr>
            </w:pPr>
            <w:r>
              <w:rPr>
                <w:rFonts w:hint="eastAsia"/>
                <w:sz w:val="24"/>
                <w:szCs w:val="24"/>
              </w:rPr>
              <w:t>0.50%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 w:hRule="atLeast"/>
          <w:jc w:val="center"/>
        </w:trPr>
        <w:tc>
          <w:tcPr>
            <w:tcW w:w="2089" w:type="dxa"/>
            <w:vMerge w:val="continue"/>
            <w:tcMar>
              <w:top w:w="15" w:type="dxa"/>
              <w:left w:w="15" w:type="dxa"/>
              <w:bottom w:w="0" w:type="dxa"/>
              <w:right w:w="15" w:type="dxa"/>
            </w:tcMar>
            <w:vAlign w:val="center"/>
          </w:tcPr>
          <w:p>
            <w:pPr>
              <w:pStyle w:val="21"/>
              <w:adjustRightInd w:val="0"/>
              <w:snapToGrid w:val="0"/>
              <w:ind w:firstLine="0" w:firstLineChars="0"/>
              <w:jc w:val="center"/>
              <w:rPr>
                <w:sz w:val="24"/>
              </w:rPr>
            </w:pPr>
          </w:p>
        </w:tc>
        <w:tc>
          <w:tcPr>
            <w:tcW w:w="3114" w:type="dxa"/>
            <w:tcMar>
              <w:top w:w="15" w:type="dxa"/>
              <w:left w:w="15" w:type="dxa"/>
              <w:bottom w:w="0" w:type="dxa"/>
              <w:right w:w="15" w:type="dxa"/>
            </w:tcMar>
          </w:tcPr>
          <w:p>
            <w:pPr>
              <w:pStyle w:val="21"/>
              <w:adjustRightInd w:val="0"/>
              <w:snapToGrid w:val="0"/>
              <w:ind w:firstLine="0" w:firstLineChars="0"/>
              <w:jc w:val="center"/>
              <w:rPr>
                <w:sz w:val="24"/>
              </w:rPr>
            </w:pPr>
            <w:r>
              <w:rPr>
                <w:rFonts w:hint="eastAsia"/>
                <w:sz w:val="24"/>
              </w:rPr>
              <w:t>M≥500万元</w:t>
            </w:r>
          </w:p>
        </w:tc>
        <w:tc>
          <w:tcPr>
            <w:tcW w:w="3294" w:type="dxa"/>
          </w:tcPr>
          <w:p>
            <w:pPr>
              <w:pStyle w:val="21"/>
              <w:adjustRightInd w:val="0"/>
              <w:snapToGrid w:val="0"/>
              <w:ind w:firstLine="0" w:firstLineChars="0"/>
              <w:jc w:val="center"/>
              <w:rPr>
                <w:sz w:val="24"/>
              </w:rPr>
            </w:pPr>
            <w:r>
              <w:rPr>
                <w:rFonts w:hint="eastAsia"/>
                <w:sz w:val="24"/>
              </w:rPr>
              <w:t>按笔固定收取，</w:t>
            </w:r>
            <w:r>
              <w:rPr>
                <w:sz w:val="24"/>
              </w:rPr>
              <w:t>1000元/笔</w:t>
            </w:r>
          </w:p>
        </w:tc>
      </w:tr>
    </w:tbl>
    <w:p>
      <w:pPr>
        <w:pStyle w:val="21"/>
        <w:adjustRightInd w:val="0"/>
        <w:snapToGrid w:val="0"/>
        <w:ind w:firstLine="480"/>
        <w:rPr>
          <w:sz w:val="24"/>
        </w:rPr>
      </w:pPr>
      <w:r>
        <w:rPr>
          <w:rFonts w:hint="eastAsia"/>
          <w:sz w:val="24"/>
        </w:rPr>
        <w:t>本基金A类</w:t>
      </w:r>
      <w:r>
        <w:rPr>
          <w:sz w:val="24"/>
        </w:rPr>
        <w:t>基金份额</w:t>
      </w:r>
      <w:r>
        <w:rPr>
          <w:rFonts w:hint="eastAsia"/>
          <w:sz w:val="24"/>
        </w:rPr>
        <w:t>的认购费由提出认购该类基金</w:t>
      </w:r>
      <w:r>
        <w:rPr>
          <w:sz w:val="24"/>
        </w:rPr>
        <w:t>份额</w:t>
      </w:r>
      <w:r>
        <w:rPr>
          <w:rFonts w:hint="eastAsia"/>
          <w:sz w:val="24"/>
        </w:rPr>
        <w:t>申请并成功确认的投资人承担。基金认购费用不列入基金财产，主要用于本基金的市场推广、销售、登记等募集期间发生的各项费用。募集期间发生的信息披露费、会计师费和律师费等各项费用，不从基金财产中列支。若投资人重复认购本基金A类</w:t>
      </w:r>
      <w:r>
        <w:rPr>
          <w:sz w:val="24"/>
        </w:rPr>
        <w:t>基金份额</w:t>
      </w:r>
      <w:r>
        <w:rPr>
          <w:rFonts w:hint="eastAsia"/>
          <w:sz w:val="24"/>
        </w:rPr>
        <w:t>时，需按单笔认购金额对应的认购费率分别计算认购费用。</w:t>
      </w:r>
    </w:p>
    <w:p>
      <w:pPr>
        <w:pStyle w:val="21"/>
        <w:adjustRightInd w:val="0"/>
        <w:snapToGrid w:val="0"/>
        <w:ind w:firstLine="480"/>
        <w:rPr>
          <w:sz w:val="24"/>
        </w:rPr>
      </w:pPr>
      <w:r>
        <w:rPr>
          <w:rFonts w:hint="eastAsia"/>
          <w:sz w:val="24"/>
        </w:rPr>
        <w:t>本基金C类</w:t>
      </w:r>
      <w:r>
        <w:rPr>
          <w:sz w:val="24"/>
        </w:rPr>
        <w:t>基金份额不收取</w:t>
      </w:r>
      <w:r>
        <w:rPr>
          <w:rFonts w:hint="eastAsia"/>
          <w:sz w:val="24"/>
        </w:rPr>
        <w:t>认购</w:t>
      </w:r>
      <w:r>
        <w:rPr>
          <w:sz w:val="24"/>
        </w:rPr>
        <w:t>费用，</w:t>
      </w:r>
      <w:r>
        <w:rPr>
          <w:rFonts w:hint="eastAsia"/>
          <w:sz w:val="24"/>
        </w:rPr>
        <w:t>而是</w:t>
      </w:r>
      <w:r>
        <w:rPr>
          <w:sz w:val="24"/>
        </w:rPr>
        <w:t>从该类别基金资产中计提销售服务费。</w:t>
      </w:r>
    </w:p>
    <w:p>
      <w:pPr>
        <w:pStyle w:val="21"/>
        <w:adjustRightInd w:val="0"/>
        <w:snapToGrid w:val="0"/>
        <w:ind w:firstLine="480"/>
        <w:rPr>
          <w:sz w:val="24"/>
        </w:rPr>
      </w:pPr>
      <w:r>
        <w:rPr>
          <w:rFonts w:hint="eastAsia"/>
          <w:sz w:val="24"/>
        </w:rPr>
        <w:t>十四、认购份额的计算</w:t>
      </w:r>
    </w:p>
    <w:p>
      <w:pPr>
        <w:pStyle w:val="21"/>
        <w:adjustRightInd w:val="0"/>
        <w:snapToGrid w:val="0"/>
        <w:ind w:firstLine="480"/>
        <w:rPr>
          <w:sz w:val="24"/>
        </w:rPr>
      </w:pPr>
      <w:r>
        <w:rPr>
          <w:rFonts w:hint="eastAsia"/>
          <w:sz w:val="24"/>
        </w:rPr>
        <w:t>认购份额、</w:t>
      </w:r>
      <w:r>
        <w:rPr>
          <w:sz w:val="24"/>
        </w:rPr>
        <w:t>认购金额</w:t>
      </w:r>
      <w:r>
        <w:rPr>
          <w:rFonts w:hint="eastAsia"/>
          <w:sz w:val="24"/>
        </w:rPr>
        <w:t>计算结果保留到小数点后两位，小数点后两位以后的部分舍去，舍去部分所代表的资产归基金财产所有。</w:t>
      </w:r>
    </w:p>
    <w:p>
      <w:pPr>
        <w:pStyle w:val="21"/>
        <w:adjustRightInd w:val="0"/>
        <w:snapToGrid w:val="0"/>
        <w:ind w:firstLine="480"/>
        <w:rPr>
          <w:sz w:val="24"/>
        </w:rPr>
      </w:pPr>
      <w:r>
        <w:rPr>
          <w:rFonts w:hint="eastAsia"/>
          <w:sz w:val="24"/>
        </w:rPr>
        <w:t>1、本基金A类</w:t>
      </w:r>
      <w:r>
        <w:rPr>
          <w:sz w:val="24"/>
        </w:rPr>
        <w:t>基金份额的</w:t>
      </w:r>
      <w:r>
        <w:rPr>
          <w:rFonts w:hint="eastAsia"/>
          <w:sz w:val="24"/>
        </w:rPr>
        <w:t>认购份额的计算公式如下：</w:t>
      </w:r>
    </w:p>
    <w:p>
      <w:pPr>
        <w:pStyle w:val="21"/>
        <w:adjustRightInd w:val="0"/>
        <w:snapToGrid w:val="0"/>
        <w:ind w:firstLine="480"/>
        <w:rPr>
          <w:sz w:val="24"/>
        </w:rPr>
      </w:pPr>
      <w:r>
        <w:rPr>
          <w:rFonts w:hint="eastAsia"/>
          <w:sz w:val="24"/>
        </w:rPr>
        <w:t>净认购金额=认购金额/（1＋认购费率）</w:t>
      </w:r>
    </w:p>
    <w:p>
      <w:pPr>
        <w:pStyle w:val="21"/>
        <w:adjustRightInd w:val="0"/>
        <w:snapToGrid w:val="0"/>
        <w:ind w:firstLine="480"/>
        <w:rPr>
          <w:sz w:val="24"/>
        </w:rPr>
      </w:pPr>
      <w:r>
        <w:rPr>
          <w:rFonts w:hint="eastAsia"/>
          <w:sz w:val="24"/>
        </w:rPr>
        <w:t>（注：对于适用固定金额认购费的认购，净认购金额=认购金额-固定认购费金额）</w:t>
      </w:r>
    </w:p>
    <w:p>
      <w:pPr>
        <w:pStyle w:val="21"/>
        <w:adjustRightInd w:val="0"/>
        <w:snapToGrid w:val="0"/>
        <w:ind w:firstLine="480"/>
        <w:rPr>
          <w:sz w:val="24"/>
        </w:rPr>
      </w:pPr>
      <w:r>
        <w:rPr>
          <w:rFonts w:hint="eastAsia"/>
          <w:sz w:val="24"/>
        </w:rPr>
        <w:t>认购费用=认购金额-净认购金额</w:t>
      </w:r>
    </w:p>
    <w:p>
      <w:pPr>
        <w:pStyle w:val="21"/>
        <w:adjustRightInd w:val="0"/>
        <w:snapToGrid w:val="0"/>
        <w:ind w:firstLine="480"/>
        <w:rPr>
          <w:sz w:val="24"/>
        </w:rPr>
      </w:pPr>
      <w:r>
        <w:rPr>
          <w:rFonts w:hint="eastAsia"/>
          <w:sz w:val="24"/>
        </w:rPr>
        <w:t>（注：对于适用固定金额认购费的认购，认购费用=固定认购费金额）</w:t>
      </w:r>
    </w:p>
    <w:p>
      <w:pPr>
        <w:pStyle w:val="21"/>
        <w:adjustRightInd w:val="0"/>
        <w:snapToGrid w:val="0"/>
        <w:ind w:firstLine="480"/>
        <w:rPr>
          <w:sz w:val="24"/>
        </w:rPr>
      </w:pPr>
      <w:r>
        <w:rPr>
          <w:rFonts w:hint="eastAsia"/>
          <w:sz w:val="24"/>
        </w:rPr>
        <w:t>认购份额=（净认购金额＋利息）/基金份额发售面值</w:t>
      </w:r>
    </w:p>
    <w:p>
      <w:pPr>
        <w:pStyle w:val="21"/>
        <w:adjustRightInd w:val="0"/>
        <w:snapToGrid w:val="0"/>
        <w:ind w:firstLine="480"/>
        <w:rPr>
          <w:sz w:val="24"/>
        </w:rPr>
      </w:pPr>
      <w:r>
        <w:rPr>
          <w:rFonts w:hint="eastAsia"/>
          <w:sz w:val="24"/>
        </w:rPr>
        <w:t>例1：某投资人在认购期内投资</w:t>
      </w:r>
      <w:r>
        <w:rPr>
          <w:sz w:val="24"/>
        </w:rPr>
        <w:t>7</w:t>
      </w:r>
      <w:r>
        <w:rPr>
          <w:rFonts w:hint="eastAsia"/>
          <w:sz w:val="24"/>
        </w:rPr>
        <w:t>00,000.00元认购本基金A类</w:t>
      </w:r>
      <w:r>
        <w:rPr>
          <w:sz w:val="24"/>
        </w:rPr>
        <w:t>基金份额</w:t>
      </w:r>
      <w:r>
        <w:rPr>
          <w:rFonts w:hint="eastAsia"/>
          <w:sz w:val="24"/>
        </w:rPr>
        <w:t>，认购费率为</w:t>
      </w:r>
      <w:r>
        <w:rPr>
          <w:sz w:val="24"/>
        </w:rPr>
        <w:t>0.80</w:t>
      </w:r>
      <w:r>
        <w:rPr>
          <w:rFonts w:hint="eastAsia"/>
          <w:sz w:val="24"/>
        </w:rPr>
        <w:t>%，假设这</w:t>
      </w:r>
      <w:r>
        <w:rPr>
          <w:sz w:val="24"/>
        </w:rPr>
        <w:t>7</w:t>
      </w:r>
      <w:r>
        <w:rPr>
          <w:rFonts w:hint="eastAsia"/>
          <w:sz w:val="24"/>
        </w:rPr>
        <w:t>00,000.00元在认购期间产生的利息为90.00元，则其可得到的A类基金份额计算方法为：</w:t>
      </w:r>
    </w:p>
    <w:p>
      <w:pPr>
        <w:pStyle w:val="21"/>
        <w:adjustRightInd w:val="0"/>
        <w:snapToGrid w:val="0"/>
        <w:ind w:firstLine="480"/>
        <w:rPr>
          <w:sz w:val="24"/>
        </w:rPr>
      </w:pPr>
      <w:r>
        <w:rPr>
          <w:rFonts w:hint="eastAsia"/>
          <w:sz w:val="24"/>
        </w:rPr>
        <w:t>净认购金额＝</w:t>
      </w:r>
      <w:r>
        <w:rPr>
          <w:sz w:val="24"/>
        </w:rPr>
        <w:t>7</w:t>
      </w:r>
      <w:r>
        <w:rPr>
          <w:rFonts w:hint="eastAsia"/>
          <w:sz w:val="24"/>
        </w:rPr>
        <w:t>00,000.00/(1＋</w:t>
      </w:r>
      <w:r>
        <w:rPr>
          <w:sz w:val="24"/>
        </w:rPr>
        <w:t>0.80</w:t>
      </w:r>
      <w:r>
        <w:rPr>
          <w:rFonts w:hint="eastAsia"/>
          <w:sz w:val="24"/>
        </w:rPr>
        <w:t>%)＝</w:t>
      </w:r>
      <w:r>
        <w:rPr>
          <w:sz w:val="24"/>
        </w:rPr>
        <w:t>694</w:t>
      </w:r>
      <w:r>
        <w:rPr>
          <w:rFonts w:hint="eastAsia"/>
          <w:sz w:val="24"/>
        </w:rPr>
        <w:t>,4</w:t>
      </w:r>
      <w:r>
        <w:rPr>
          <w:sz w:val="24"/>
        </w:rPr>
        <w:t>44.44</w:t>
      </w:r>
      <w:r>
        <w:rPr>
          <w:rFonts w:hint="eastAsia"/>
          <w:sz w:val="24"/>
        </w:rPr>
        <w:t>元</w:t>
      </w:r>
    </w:p>
    <w:p>
      <w:pPr>
        <w:pStyle w:val="21"/>
        <w:adjustRightInd w:val="0"/>
        <w:snapToGrid w:val="0"/>
        <w:ind w:firstLine="480"/>
        <w:rPr>
          <w:sz w:val="24"/>
        </w:rPr>
      </w:pPr>
      <w:r>
        <w:rPr>
          <w:rFonts w:hint="eastAsia"/>
          <w:sz w:val="24"/>
        </w:rPr>
        <w:t>认购费用＝</w:t>
      </w:r>
      <w:r>
        <w:rPr>
          <w:sz w:val="24"/>
        </w:rPr>
        <w:t>7</w:t>
      </w:r>
      <w:r>
        <w:rPr>
          <w:rFonts w:hint="eastAsia"/>
          <w:sz w:val="24"/>
        </w:rPr>
        <w:t>00,000.00－</w:t>
      </w:r>
      <w:r>
        <w:rPr>
          <w:sz w:val="24"/>
        </w:rPr>
        <w:t>694,444.44</w:t>
      </w:r>
      <w:r>
        <w:rPr>
          <w:rFonts w:hint="eastAsia"/>
          <w:sz w:val="24"/>
        </w:rPr>
        <w:t>＝</w:t>
      </w:r>
      <w:r>
        <w:rPr>
          <w:sz w:val="24"/>
        </w:rPr>
        <w:t>5</w:t>
      </w:r>
      <w:r>
        <w:rPr>
          <w:rFonts w:hint="eastAsia"/>
          <w:sz w:val="24"/>
        </w:rPr>
        <w:t>,5</w:t>
      </w:r>
      <w:r>
        <w:rPr>
          <w:sz w:val="24"/>
        </w:rPr>
        <w:t>55.56</w:t>
      </w:r>
      <w:r>
        <w:rPr>
          <w:rFonts w:hint="eastAsia"/>
          <w:sz w:val="24"/>
        </w:rPr>
        <w:t>元</w:t>
      </w:r>
    </w:p>
    <w:p>
      <w:pPr>
        <w:pStyle w:val="21"/>
        <w:adjustRightInd w:val="0"/>
        <w:snapToGrid w:val="0"/>
        <w:ind w:firstLine="480"/>
        <w:rPr>
          <w:sz w:val="24"/>
        </w:rPr>
      </w:pPr>
      <w:r>
        <w:rPr>
          <w:rFonts w:hint="eastAsia"/>
          <w:sz w:val="24"/>
        </w:rPr>
        <w:t>认购份额＝（</w:t>
      </w:r>
      <w:r>
        <w:rPr>
          <w:sz w:val="24"/>
        </w:rPr>
        <w:t>694</w:t>
      </w:r>
      <w:r>
        <w:rPr>
          <w:rFonts w:hint="eastAsia"/>
          <w:sz w:val="24"/>
        </w:rPr>
        <w:t>,4</w:t>
      </w:r>
      <w:r>
        <w:rPr>
          <w:sz w:val="24"/>
        </w:rPr>
        <w:t>44.44</w:t>
      </w:r>
      <w:r>
        <w:rPr>
          <w:rFonts w:hint="eastAsia"/>
          <w:sz w:val="24"/>
        </w:rPr>
        <w:t>＋90.00）/1.00＝</w:t>
      </w:r>
      <w:r>
        <w:rPr>
          <w:sz w:val="24"/>
        </w:rPr>
        <w:t>694</w:t>
      </w:r>
      <w:r>
        <w:rPr>
          <w:rFonts w:hint="eastAsia"/>
          <w:sz w:val="24"/>
        </w:rPr>
        <w:t>,5</w:t>
      </w:r>
      <w:r>
        <w:rPr>
          <w:sz w:val="24"/>
        </w:rPr>
        <w:t>34.44</w:t>
      </w:r>
      <w:r>
        <w:rPr>
          <w:rFonts w:hint="eastAsia"/>
          <w:sz w:val="24"/>
        </w:rPr>
        <w:t>份</w:t>
      </w:r>
    </w:p>
    <w:p>
      <w:pPr>
        <w:pStyle w:val="21"/>
        <w:adjustRightInd w:val="0"/>
        <w:snapToGrid w:val="0"/>
        <w:spacing w:line="460" w:lineRule="exact"/>
        <w:ind w:firstLine="480"/>
        <w:rPr>
          <w:sz w:val="24"/>
        </w:rPr>
      </w:pPr>
      <w:r>
        <w:rPr>
          <w:rFonts w:hint="eastAsia"/>
          <w:sz w:val="24"/>
        </w:rPr>
        <w:t>即：某投资人投资</w:t>
      </w:r>
      <w:r>
        <w:rPr>
          <w:sz w:val="24"/>
        </w:rPr>
        <w:t>7</w:t>
      </w:r>
      <w:r>
        <w:rPr>
          <w:rFonts w:hint="eastAsia"/>
          <w:sz w:val="24"/>
        </w:rPr>
        <w:t>00,000.00元认购本基金A类基金份额，加上有效认购款在认购期内获得的利息，基金认购期结束后，投资人经确认的A类基金份额为</w:t>
      </w:r>
      <w:r>
        <w:rPr>
          <w:sz w:val="24"/>
        </w:rPr>
        <w:t>694,534.44</w:t>
      </w:r>
      <w:r>
        <w:rPr>
          <w:rFonts w:hint="eastAsia"/>
          <w:sz w:val="24"/>
        </w:rPr>
        <w:t>份。</w:t>
      </w:r>
    </w:p>
    <w:p>
      <w:pPr>
        <w:pStyle w:val="21"/>
        <w:adjustRightInd w:val="0"/>
        <w:snapToGrid w:val="0"/>
        <w:spacing w:line="460" w:lineRule="exact"/>
        <w:ind w:firstLine="480"/>
        <w:rPr>
          <w:sz w:val="24"/>
        </w:rPr>
      </w:pPr>
      <w:r>
        <w:rPr>
          <w:rFonts w:hint="eastAsia"/>
          <w:sz w:val="24"/>
        </w:rPr>
        <w:t>2、本基金C类基金份额的认购份额的计算公式如下：</w:t>
      </w:r>
    </w:p>
    <w:p>
      <w:pPr>
        <w:pStyle w:val="21"/>
        <w:adjustRightInd w:val="0"/>
        <w:snapToGrid w:val="0"/>
        <w:spacing w:line="460" w:lineRule="exact"/>
        <w:ind w:firstLine="480"/>
        <w:rPr>
          <w:sz w:val="24"/>
        </w:rPr>
      </w:pPr>
      <w:r>
        <w:rPr>
          <w:rFonts w:hint="eastAsia"/>
          <w:sz w:val="24"/>
        </w:rPr>
        <w:t>认购份额=（认购金额+利息）/基金份额发售面值</w:t>
      </w:r>
    </w:p>
    <w:p>
      <w:pPr>
        <w:pStyle w:val="21"/>
        <w:adjustRightInd w:val="0"/>
        <w:snapToGrid w:val="0"/>
        <w:spacing w:line="460" w:lineRule="exact"/>
        <w:ind w:firstLine="480"/>
        <w:rPr>
          <w:sz w:val="24"/>
        </w:rPr>
      </w:pPr>
      <w:r>
        <w:rPr>
          <w:rFonts w:hint="eastAsia"/>
          <w:sz w:val="24"/>
        </w:rPr>
        <w:t>例2：某投资人在认购期内投资500,000.00元认购本基金C类基金份额，假设这500,000.00元在认购期间产生的利息为90.00元，则其可得到的</w:t>
      </w:r>
      <w:r>
        <w:rPr>
          <w:sz w:val="24"/>
        </w:rPr>
        <w:t>C类基金份额</w:t>
      </w:r>
      <w:r>
        <w:rPr>
          <w:rFonts w:hint="eastAsia"/>
          <w:sz w:val="24"/>
        </w:rPr>
        <w:t>计算方法为：</w:t>
      </w:r>
    </w:p>
    <w:p>
      <w:pPr>
        <w:pStyle w:val="21"/>
        <w:adjustRightInd w:val="0"/>
        <w:snapToGrid w:val="0"/>
        <w:spacing w:line="460" w:lineRule="exact"/>
        <w:ind w:firstLine="480"/>
        <w:rPr>
          <w:sz w:val="24"/>
        </w:rPr>
      </w:pPr>
      <w:r>
        <w:rPr>
          <w:rFonts w:hint="eastAsia"/>
          <w:sz w:val="24"/>
        </w:rPr>
        <w:t>认购份额=（500,000.00+90.00）/1.00=500,090.00份</w:t>
      </w:r>
    </w:p>
    <w:p>
      <w:pPr>
        <w:pStyle w:val="21"/>
        <w:adjustRightInd w:val="0"/>
        <w:snapToGrid w:val="0"/>
        <w:spacing w:line="460" w:lineRule="exact"/>
        <w:ind w:firstLine="480"/>
        <w:rPr>
          <w:sz w:val="24"/>
        </w:rPr>
      </w:pPr>
      <w:r>
        <w:rPr>
          <w:rFonts w:hint="eastAsia"/>
          <w:sz w:val="24"/>
        </w:rPr>
        <w:t>即：某投资人投资500,000.00元认购本基金C类基金份额，加上有效认购款在认购期内获得的利息，基金认购期结束后，该投资人经确认的C类基金份额为500,090.00份。</w:t>
      </w:r>
    </w:p>
    <w:p>
      <w:pPr>
        <w:pStyle w:val="21"/>
        <w:adjustRightInd w:val="0"/>
        <w:snapToGrid w:val="0"/>
        <w:spacing w:line="460" w:lineRule="exact"/>
        <w:ind w:firstLine="480"/>
        <w:rPr>
          <w:sz w:val="24"/>
        </w:rPr>
      </w:pPr>
      <w:r>
        <w:rPr>
          <w:rFonts w:hint="eastAsia"/>
          <w:sz w:val="24"/>
        </w:rPr>
        <w:t>十五、认购的确认</w:t>
      </w:r>
    </w:p>
    <w:p>
      <w:pPr>
        <w:pStyle w:val="21"/>
        <w:adjustRightInd w:val="0"/>
        <w:snapToGrid w:val="0"/>
        <w:spacing w:line="460" w:lineRule="exact"/>
        <w:ind w:firstLine="480"/>
        <w:rPr>
          <w:sz w:val="24"/>
        </w:rPr>
      </w:pPr>
      <w:r>
        <w:rPr>
          <w:rFonts w:hint="eastAsia"/>
          <w:sz w:val="24"/>
        </w:rPr>
        <w:t>对于T日交易时间内受理的认购申请，登记机构将在T+1日就申请的有效性进行确认，投资人应在T+2日后（包括该日）及时到销售网点柜台或以销售机构规定的其他方式查询认购申请有效性的确认情况。</w:t>
      </w:r>
    </w:p>
    <w:p>
      <w:pPr>
        <w:pStyle w:val="21"/>
        <w:adjustRightInd w:val="0"/>
        <w:snapToGrid w:val="0"/>
        <w:spacing w:line="460" w:lineRule="exact"/>
        <w:ind w:firstLine="480"/>
        <w:rPr>
          <w:color w:val="000000"/>
          <w:kern w:val="0"/>
          <w:sz w:val="24"/>
        </w:rPr>
      </w:pPr>
      <w:r>
        <w:rPr>
          <w:rFonts w:hint="eastAsia"/>
          <w:sz w:val="24"/>
        </w:rPr>
        <w:t>基金销售机构对认购申请的受理并不代表该申请一定成功，而仅代表销售机构确实接收到认购申请。认购的确认以登记机构的确认结果为准。对于认购申请及认购份额的确认情况，投资人应及时查询并妥善行使合法权利</w:t>
      </w:r>
      <w:r>
        <w:rPr>
          <w:rFonts w:hint="eastAsia"/>
          <w:bCs/>
          <w:color w:val="000000"/>
          <w:kern w:val="0"/>
          <w:sz w:val="24"/>
        </w:rPr>
        <w:t>，否则，由于投资人怠于查询而产生的投资人任何损失由投资人自行承担</w:t>
      </w:r>
      <w:r>
        <w:rPr>
          <w:rFonts w:hint="eastAsia"/>
          <w:color w:val="000000"/>
          <w:kern w:val="0"/>
          <w:sz w:val="24"/>
        </w:rPr>
        <w:t>。</w:t>
      </w:r>
    </w:p>
    <w:p>
      <w:pPr>
        <w:pStyle w:val="21"/>
        <w:adjustRightInd w:val="0"/>
        <w:snapToGrid w:val="0"/>
        <w:spacing w:line="460" w:lineRule="exact"/>
        <w:ind w:firstLine="480"/>
        <w:rPr>
          <w:sz w:val="24"/>
        </w:rPr>
      </w:pPr>
      <w:r>
        <w:rPr>
          <w:rFonts w:hint="eastAsia"/>
          <w:sz w:val="24"/>
        </w:rPr>
        <w:t>十六、募集期利息的处理方式</w:t>
      </w:r>
    </w:p>
    <w:p>
      <w:pPr>
        <w:pStyle w:val="21"/>
        <w:adjustRightInd w:val="0"/>
        <w:snapToGrid w:val="0"/>
        <w:spacing w:line="460" w:lineRule="exact"/>
        <w:ind w:firstLine="480"/>
        <w:rPr>
          <w:sz w:val="24"/>
        </w:rPr>
      </w:pPr>
      <w:r>
        <w:rPr>
          <w:rFonts w:hint="eastAsia"/>
          <w:sz w:val="24"/>
        </w:rPr>
        <w:t>有效认购款项在募集期间产生的利息将折算为基金份额归基金份额持有人所有，计入基金份额持有人的基金账户，其中利息转份额的具体数额以登记机构的记录为准。有效认购款项利息折算的份额保留到小数点后两位，小数点两位以后的部分舍去，舍去部分所代表的资产归基金财产所有。</w:t>
      </w:r>
    </w:p>
    <w:p>
      <w:pPr>
        <w:pStyle w:val="21"/>
        <w:adjustRightInd w:val="0"/>
        <w:snapToGrid w:val="0"/>
        <w:spacing w:line="460" w:lineRule="exact"/>
        <w:ind w:firstLine="480"/>
        <w:rPr>
          <w:sz w:val="24"/>
        </w:rPr>
      </w:pPr>
      <w:r>
        <w:rPr>
          <w:rFonts w:hint="eastAsia"/>
          <w:sz w:val="24"/>
        </w:rPr>
        <w:t>十七、募集资金的管理</w:t>
      </w:r>
    </w:p>
    <w:p>
      <w:pPr>
        <w:pStyle w:val="21"/>
        <w:adjustRightInd w:val="0"/>
        <w:snapToGrid w:val="0"/>
        <w:spacing w:line="460" w:lineRule="exact"/>
        <w:ind w:firstLine="480"/>
        <w:rPr>
          <w:sz w:val="24"/>
        </w:rPr>
      </w:pPr>
      <w:r>
        <w:rPr>
          <w:sz w:val="24"/>
        </w:rPr>
        <w:t>本基金</w:t>
      </w:r>
      <w:r>
        <w:rPr>
          <w:rFonts w:hint="eastAsia"/>
          <w:sz w:val="24"/>
        </w:rPr>
        <w:t>募集行为结束前，投资人的认购款项只能存入募集账户，任何人不得动用。认购期结束后，由登记机构计算投资人认购应获得的基金份额，基金管理人应在10日内聘请法定验资机构进行认购款项的验资。</w:t>
      </w:r>
    </w:p>
    <w:p>
      <w:pPr>
        <w:pStyle w:val="21"/>
        <w:adjustRightInd w:val="0"/>
        <w:snapToGrid w:val="0"/>
        <w:spacing w:line="460" w:lineRule="exact"/>
        <w:ind w:firstLine="480"/>
        <w:rPr>
          <w:sz w:val="24"/>
        </w:rPr>
      </w:pPr>
      <w:r>
        <w:rPr>
          <w:rFonts w:hint="eastAsia"/>
          <w:sz w:val="24"/>
        </w:rPr>
        <w:t>十八、本基金与目标ETF的联系和区别</w:t>
      </w:r>
    </w:p>
    <w:p>
      <w:pPr>
        <w:pStyle w:val="21"/>
        <w:adjustRightInd w:val="0"/>
        <w:snapToGrid w:val="0"/>
        <w:spacing w:line="460" w:lineRule="exact"/>
        <w:ind w:firstLine="480"/>
        <w:rPr>
          <w:sz w:val="24"/>
        </w:rPr>
      </w:pPr>
      <w:r>
        <w:rPr>
          <w:rFonts w:hint="eastAsia"/>
          <w:sz w:val="24"/>
        </w:rPr>
        <w:t>1、本基金为目标ETF的联接基金，二者既有联系也有区别：</w:t>
      </w:r>
    </w:p>
    <w:p>
      <w:pPr>
        <w:pStyle w:val="21"/>
        <w:adjustRightInd w:val="0"/>
        <w:snapToGrid w:val="0"/>
        <w:spacing w:line="460" w:lineRule="exact"/>
        <w:ind w:firstLine="480"/>
        <w:rPr>
          <w:sz w:val="24"/>
        </w:rPr>
      </w:pPr>
      <w:r>
        <w:rPr>
          <w:rFonts w:hint="eastAsia"/>
          <w:sz w:val="24"/>
        </w:rPr>
        <w:t>（1）在投资方法方面，目标ETF主要采取完全复制法，直接投资于标的指数的成份股及备选成份股；而本基金则采取间接的方法，通过将绝大部分基金财产投资于目标ETF，实现对业绩比较基准的紧密跟踪。</w:t>
      </w:r>
    </w:p>
    <w:p>
      <w:pPr>
        <w:pStyle w:val="21"/>
        <w:adjustRightInd w:val="0"/>
        <w:snapToGrid w:val="0"/>
        <w:spacing w:line="460" w:lineRule="exact"/>
        <w:ind w:firstLine="480"/>
        <w:rPr>
          <w:sz w:val="24"/>
        </w:rPr>
      </w:pPr>
      <w:r>
        <w:rPr>
          <w:rFonts w:hint="eastAsia"/>
          <w:sz w:val="24"/>
        </w:rPr>
        <w:t>（2）在交易方式方面，投资人既可以在二级市场买卖目标ETF，也可以按照申购赎回清单的要求，采用份额申购和份额赎回的方式申赎目标ETF或者按照目标ETF法律文件的约定以其他方式申赎目标ETF；而本基金的申购与赎回则与普通的开放式基金类似，通过基金管理人及销售机构按未知价法采用金额申购、份额赎回的方式进行。</w:t>
      </w:r>
    </w:p>
    <w:p>
      <w:pPr>
        <w:pStyle w:val="21"/>
        <w:adjustRightInd w:val="0"/>
        <w:snapToGrid w:val="0"/>
        <w:spacing w:line="460" w:lineRule="exact"/>
        <w:ind w:firstLine="480"/>
        <w:rPr>
          <w:sz w:val="24"/>
        </w:rPr>
      </w:pPr>
      <w:r>
        <w:rPr>
          <w:rFonts w:hint="eastAsia"/>
          <w:sz w:val="24"/>
        </w:rPr>
        <w:t>（3）价格揭示机制不同。目标ETF有实时市场交易价格和每个交易日基金份额净值；本基金只揭示每个交易日基金份额净值。</w:t>
      </w:r>
    </w:p>
    <w:p>
      <w:pPr>
        <w:pStyle w:val="21"/>
        <w:adjustRightInd w:val="0"/>
        <w:snapToGrid w:val="0"/>
        <w:spacing w:line="460" w:lineRule="exact"/>
        <w:ind w:firstLine="480"/>
        <w:rPr>
          <w:sz w:val="24"/>
        </w:rPr>
      </w:pPr>
      <w:r>
        <w:rPr>
          <w:rFonts w:hint="eastAsia"/>
          <w:sz w:val="24"/>
        </w:rPr>
        <w:t>（4）申购赎回方式不同。目标ETF的投资人依据申购赎回清单，按申购对价、赎回对价进行申购赎回，申购赎回均以份额申报或者按照目标ETF法律文件的约定以其他方式申赎目标ETF；本基金的投资人依据基金份额净值进行申购赎回，以金额申购、份额赎回。</w:t>
      </w:r>
    </w:p>
    <w:p>
      <w:pPr>
        <w:pStyle w:val="21"/>
        <w:adjustRightInd w:val="0"/>
        <w:snapToGrid w:val="0"/>
        <w:spacing w:line="460" w:lineRule="exact"/>
        <w:ind w:firstLine="480"/>
        <w:rPr>
          <w:sz w:val="24"/>
        </w:rPr>
      </w:pPr>
      <w:r>
        <w:rPr>
          <w:rFonts w:hint="eastAsia"/>
          <w:sz w:val="24"/>
        </w:rPr>
        <w:t>2、本基金与目标ETF业绩表现可能出现差异。可能引发差异的因素主要包括：</w:t>
      </w:r>
    </w:p>
    <w:p>
      <w:pPr>
        <w:pStyle w:val="21"/>
        <w:adjustRightInd w:val="0"/>
        <w:snapToGrid w:val="0"/>
        <w:spacing w:line="460" w:lineRule="exact"/>
        <w:ind w:firstLine="480"/>
        <w:rPr>
          <w:sz w:val="24"/>
        </w:rPr>
      </w:pPr>
      <w:r>
        <w:rPr>
          <w:rFonts w:hint="eastAsia"/>
          <w:sz w:val="24"/>
        </w:rPr>
        <w:t>（1）法律法规对投资比例的要求。目标ETF作为一种特殊的基金品种，可将全部或接近全部的基金资产，用于跟踪标的指数的表现；而本基金作为普通的开放式基金，每个交易日日终在扣除股指期货合约、股票期权合约需缴纳的交易保证金后，仍需将保持不低于基金资产净值5%的现金或者到期日在一年以内的政府债券。</w:t>
      </w:r>
    </w:p>
    <w:p>
      <w:pPr>
        <w:pStyle w:val="21"/>
        <w:adjustRightInd w:val="0"/>
        <w:snapToGrid w:val="0"/>
        <w:spacing w:line="460" w:lineRule="exact"/>
        <w:ind w:firstLine="480"/>
        <w:rPr>
          <w:sz w:val="24"/>
        </w:rPr>
      </w:pPr>
      <w:r>
        <w:rPr>
          <w:rFonts w:hint="eastAsia"/>
          <w:sz w:val="24"/>
        </w:rPr>
        <w:t>（2）申购赎回的影响。目标ETF采取实物申赎的方式或者按照目标ETF法律文件的约定以其他方式申赎目标ETF，申购赎回对基金净值影响较小；而本基金申购赎回采用现金方式，大额申赎可能会对基金净值产生一定冲击。</w:t>
      </w:r>
    </w:p>
    <w:p>
      <w:pPr>
        <w:pStyle w:val="21"/>
        <w:adjustRightInd w:val="0"/>
        <w:snapToGrid w:val="0"/>
        <w:spacing w:line="460" w:lineRule="exact"/>
        <w:ind w:firstLine="480"/>
        <w:rPr>
          <w:sz w:val="24"/>
        </w:rPr>
      </w:pPr>
      <w:r>
        <w:rPr>
          <w:rFonts w:hint="eastAsia"/>
          <w:sz w:val="24"/>
        </w:rPr>
        <w:t>（3）投资管理方式的不同，如在指数化投资过程中，不同的管理方式会导致跟踪指数的水平、技术手段、买入卖出的时机选择等的不同。</w:t>
      </w:r>
    </w:p>
    <w:p>
      <w:pPr>
        <w:pStyle w:val="2"/>
        <w:adjustRightInd w:val="0"/>
        <w:snapToGrid w:val="0"/>
        <w:spacing w:before="0" w:after="0" w:line="460" w:lineRule="exact"/>
        <w:jc w:val="center"/>
        <w:rPr>
          <w:rFonts w:ascii="宋体" w:hAnsi="宋体"/>
        </w:rPr>
      </w:pPr>
      <w:r>
        <w:rPr>
          <w:rFonts w:ascii="宋体" w:hAnsi="宋体"/>
        </w:rPr>
        <w:br w:type="page"/>
      </w:r>
      <w:bookmarkStart w:id="30" w:name="_Toc103003349"/>
      <w:r>
        <w:rPr>
          <w:rFonts w:ascii="宋体" w:hAnsi="宋体"/>
        </w:rPr>
        <w:t>第</w:t>
      </w:r>
      <w:r>
        <w:rPr>
          <w:rFonts w:hint="eastAsia" w:ascii="宋体" w:hAnsi="宋体"/>
        </w:rPr>
        <w:t>七</w:t>
      </w:r>
      <w:r>
        <w:rPr>
          <w:rFonts w:ascii="宋体" w:hAnsi="宋体"/>
        </w:rPr>
        <w:t>部分</w:t>
      </w:r>
      <w:r>
        <w:rPr>
          <w:rFonts w:hint="eastAsia" w:ascii="宋体" w:hAnsi="宋体"/>
        </w:rPr>
        <w:t xml:space="preserve">  基金合同的生效</w:t>
      </w:r>
      <w:bookmarkEnd w:id="30"/>
    </w:p>
    <w:p>
      <w:pPr>
        <w:pStyle w:val="21"/>
        <w:adjustRightInd w:val="0"/>
        <w:snapToGrid w:val="0"/>
        <w:ind w:firstLine="480"/>
        <w:rPr>
          <w:sz w:val="24"/>
        </w:rPr>
      </w:pPr>
    </w:p>
    <w:p>
      <w:pPr>
        <w:pStyle w:val="21"/>
        <w:adjustRightInd w:val="0"/>
        <w:snapToGrid w:val="0"/>
        <w:ind w:firstLine="480"/>
        <w:rPr>
          <w:rFonts w:ascii="Times New Roman" w:hAnsi="Times New Roman"/>
          <w:bCs/>
          <w:sz w:val="24"/>
          <w:szCs w:val="24"/>
        </w:rPr>
      </w:pPr>
      <w:r>
        <w:rPr>
          <w:rFonts w:hint="eastAsia" w:ascii="Times New Roman" w:hAnsi="Times New Roman"/>
          <w:bCs/>
          <w:sz w:val="24"/>
          <w:szCs w:val="24"/>
        </w:rPr>
        <w:t>一、基金备案的条件</w:t>
      </w:r>
    </w:p>
    <w:p>
      <w:pPr>
        <w:pStyle w:val="21"/>
        <w:adjustRightInd w:val="0"/>
        <w:snapToGrid w:val="0"/>
        <w:ind w:firstLine="480"/>
        <w:rPr>
          <w:rFonts w:ascii="Times New Roman" w:hAnsi="Times New Roman"/>
          <w:bCs/>
          <w:sz w:val="24"/>
          <w:szCs w:val="24"/>
        </w:rPr>
      </w:pPr>
      <w:r>
        <w:rPr>
          <w:rFonts w:hint="eastAsia" w:ascii="Times New Roman" w:hAnsi="Times New Roman"/>
          <w:bCs/>
          <w:sz w:val="24"/>
          <w:szCs w:val="24"/>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pPr>
        <w:pStyle w:val="21"/>
        <w:adjustRightInd w:val="0"/>
        <w:snapToGrid w:val="0"/>
        <w:ind w:firstLine="480"/>
        <w:rPr>
          <w:rFonts w:ascii="Times New Roman" w:hAnsi="Times New Roman"/>
          <w:bCs/>
          <w:sz w:val="24"/>
          <w:szCs w:val="24"/>
        </w:rPr>
      </w:pPr>
      <w:r>
        <w:rPr>
          <w:rFonts w:hint="eastAsia" w:ascii="Times New Roman" w:hAnsi="Times New Roman"/>
          <w:bCs/>
          <w:sz w:val="24"/>
          <w:szCs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pPr>
        <w:pStyle w:val="21"/>
        <w:adjustRightInd w:val="0"/>
        <w:snapToGrid w:val="0"/>
        <w:ind w:firstLine="480"/>
        <w:rPr>
          <w:rFonts w:ascii="Times New Roman" w:hAnsi="Times New Roman"/>
          <w:bCs/>
          <w:sz w:val="24"/>
          <w:szCs w:val="24"/>
        </w:rPr>
      </w:pPr>
      <w:r>
        <w:rPr>
          <w:rFonts w:hint="eastAsia" w:ascii="Times New Roman" w:hAnsi="Times New Roman"/>
          <w:bCs/>
          <w:sz w:val="24"/>
          <w:szCs w:val="24"/>
        </w:rPr>
        <w:t>二、基金合同不能生效时募集资金的处理方式</w:t>
      </w:r>
    </w:p>
    <w:p>
      <w:pPr>
        <w:pStyle w:val="21"/>
        <w:adjustRightInd w:val="0"/>
        <w:snapToGrid w:val="0"/>
        <w:ind w:firstLine="480"/>
        <w:rPr>
          <w:rFonts w:ascii="Times New Roman" w:hAnsi="Times New Roman"/>
          <w:bCs/>
          <w:sz w:val="24"/>
          <w:szCs w:val="24"/>
        </w:rPr>
      </w:pPr>
      <w:r>
        <w:rPr>
          <w:rFonts w:hint="eastAsia" w:ascii="Times New Roman" w:hAnsi="Times New Roman"/>
          <w:bCs/>
          <w:sz w:val="24"/>
          <w:szCs w:val="24"/>
        </w:rPr>
        <w:t>如果募集期限届满，未满足基金备案条件，基金管理人应当承担下列责任：</w:t>
      </w:r>
    </w:p>
    <w:p>
      <w:pPr>
        <w:pStyle w:val="21"/>
        <w:adjustRightInd w:val="0"/>
        <w:snapToGrid w:val="0"/>
        <w:ind w:firstLine="480"/>
        <w:rPr>
          <w:rFonts w:ascii="Times New Roman" w:hAnsi="Times New Roman"/>
          <w:bCs/>
          <w:sz w:val="24"/>
          <w:szCs w:val="24"/>
        </w:rPr>
      </w:pPr>
      <w:bookmarkStart w:id="31" w:name="_Hlk130210812"/>
      <w:r>
        <w:rPr>
          <w:rFonts w:hint="eastAsia" w:ascii="Times New Roman" w:hAnsi="Times New Roman"/>
          <w:bCs/>
          <w:sz w:val="24"/>
          <w:szCs w:val="24"/>
        </w:rPr>
        <w:t>1、以其固有财产承担因募集行为而产生的债务和费用；</w:t>
      </w:r>
    </w:p>
    <w:bookmarkEnd w:id="31"/>
    <w:p>
      <w:pPr>
        <w:pStyle w:val="21"/>
        <w:adjustRightInd w:val="0"/>
        <w:snapToGrid w:val="0"/>
        <w:ind w:firstLine="480"/>
        <w:rPr>
          <w:rFonts w:ascii="Times New Roman" w:hAnsi="Times New Roman"/>
          <w:bCs/>
          <w:sz w:val="24"/>
          <w:szCs w:val="24"/>
        </w:rPr>
      </w:pPr>
      <w:r>
        <w:rPr>
          <w:rFonts w:hint="eastAsia" w:ascii="Times New Roman" w:hAnsi="Times New Roman"/>
          <w:bCs/>
          <w:sz w:val="24"/>
          <w:szCs w:val="24"/>
        </w:rPr>
        <w:t>2、在基金募集期限届满后30日内返还投资人已交纳的款项，并加计银行同期活期存款利息（税后）；</w:t>
      </w:r>
    </w:p>
    <w:p>
      <w:pPr>
        <w:pStyle w:val="21"/>
        <w:adjustRightInd w:val="0"/>
        <w:snapToGrid w:val="0"/>
        <w:ind w:firstLine="480"/>
        <w:rPr>
          <w:rFonts w:ascii="Times New Roman" w:hAnsi="Times New Roman"/>
          <w:bCs/>
          <w:sz w:val="24"/>
          <w:szCs w:val="24"/>
        </w:rPr>
      </w:pPr>
      <w:r>
        <w:rPr>
          <w:rFonts w:hint="eastAsia" w:ascii="Times New Roman" w:hAnsi="Times New Roman"/>
          <w:bCs/>
          <w:sz w:val="24"/>
          <w:szCs w:val="24"/>
        </w:rPr>
        <w:t>3、如基金募集失败，基金管理人、基金托管人及销售机构不得请求报酬。基金管理人、基金托管人和销售机构为基金募集支付之一切费用应由各方各自承担。</w:t>
      </w:r>
    </w:p>
    <w:p>
      <w:pPr>
        <w:pStyle w:val="21"/>
        <w:adjustRightInd w:val="0"/>
        <w:snapToGrid w:val="0"/>
        <w:ind w:firstLine="480"/>
        <w:rPr>
          <w:rFonts w:ascii="Times New Roman" w:hAnsi="Times New Roman"/>
          <w:bCs/>
          <w:sz w:val="24"/>
          <w:szCs w:val="24"/>
        </w:rPr>
      </w:pPr>
      <w:r>
        <w:rPr>
          <w:rFonts w:hint="eastAsia" w:ascii="Times New Roman" w:hAnsi="Times New Roman"/>
          <w:bCs/>
          <w:sz w:val="24"/>
          <w:szCs w:val="24"/>
        </w:rPr>
        <w:t>三、基金存续期内的基金份额持有人数量和资产规模</w:t>
      </w:r>
    </w:p>
    <w:p>
      <w:pPr>
        <w:pStyle w:val="21"/>
        <w:adjustRightInd w:val="0"/>
        <w:snapToGrid w:val="0"/>
        <w:ind w:firstLine="480"/>
        <w:rPr>
          <w:rFonts w:ascii="Times New Roman" w:hAnsi="Times New Roman"/>
          <w:bCs/>
          <w:sz w:val="24"/>
          <w:szCs w:val="24"/>
        </w:rPr>
      </w:pPr>
      <w:r>
        <w:rPr>
          <w:rFonts w:hint="eastAsia" w:ascii="Times New Roman" w:hAnsi="Times New Roman"/>
          <w:bCs/>
          <w:sz w:val="24"/>
          <w:szCs w:val="24"/>
        </w:rPr>
        <w:t>《基金合同》生效后，连续20个工作日出现基金份额持有人数量不满200人或者基金资产净值低于5,000万元情形的，基金管理人应当在定期报告中予以披露；连续50个工作日出现前述情形的，基金管理人将终止基金合同，并按照基金合同约定程序进行清算，此事项不需要召开基金份额持有人大会进行表决。</w:t>
      </w:r>
    </w:p>
    <w:p>
      <w:pPr>
        <w:adjustRightInd w:val="0"/>
        <w:snapToGrid w:val="0"/>
        <w:spacing w:line="360" w:lineRule="auto"/>
        <w:ind w:firstLine="480" w:firstLineChars="200"/>
        <w:rPr>
          <w:rFonts w:ascii="宋体"/>
          <w:bCs/>
          <w:color w:val="000000"/>
          <w:kern w:val="0"/>
          <w:sz w:val="24"/>
        </w:rPr>
      </w:pPr>
      <w:r>
        <w:rPr>
          <w:rFonts w:hint="eastAsia"/>
          <w:bCs/>
          <w:sz w:val="24"/>
        </w:rPr>
        <w:t>法律法规或中国证监会另有规定时，从其规定。</w:t>
      </w:r>
    </w:p>
    <w:p>
      <w:pPr>
        <w:pStyle w:val="2"/>
        <w:adjustRightInd w:val="0"/>
        <w:snapToGrid w:val="0"/>
        <w:spacing w:before="0" w:after="0" w:line="360" w:lineRule="auto"/>
        <w:jc w:val="center"/>
        <w:rPr>
          <w:rFonts w:ascii="宋体" w:hAnsi="宋体"/>
        </w:rPr>
      </w:pPr>
      <w:r>
        <w:rPr>
          <w:rFonts w:ascii="宋体" w:hAnsi="宋体"/>
        </w:rPr>
        <w:br w:type="page"/>
      </w:r>
      <w:bookmarkStart w:id="32" w:name="_Toc103003350"/>
      <w:r>
        <w:rPr>
          <w:rFonts w:ascii="宋体" w:hAnsi="宋体"/>
        </w:rPr>
        <w:t>第</w:t>
      </w:r>
      <w:r>
        <w:rPr>
          <w:rFonts w:hint="eastAsia" w:ascii="宋体" w:hAnsi="宋体"/>
        </w:rPr>
        <w:t>八</w:t>
      </w:r>
      <w:r>
        <w:rPr>
          <w:rFonts w:ascii="宋体" w:hAnsi="宋体"/>
        </w:rPr>
        <w:t>部分</w:t>
      </w:r>
      <w:r>
        <w:rPr>
          <w:rFonts w:hint="eastAsia" w:ascii="宋体" w:hAnsi="宋体"/>
        </w:rPr>
        <w:t xml:space="preserve">  基金份额的申购与赎回</w:t>
      </w:r>
      <w:bookmarkEnd w:id="32"/>
    </w:p>
    <w:p>
      <w:pPr>
        <w:pStyle w:val="21"/>
        <w:adjustRightInd w:val="0"/>
        <w:snapToGrid w:val="0"/>
        <w:ind w:firstLine="480"/>
        <w:rPr>
          <w:sz w:val="24"/>
        </w:rPr>
      </w:pPr>
    </w:p>
    <w:p>
      <w:pPr>
        <w:pStyle w:val="21"/>
        <w:adjustRightInd w:val="0"/>
        <w:snapToGrid w:val="0"/>
        <w:ind w:firstLine="480"/>
        <w:rPr>
          <w:rFonts w:cs="宋体"/>
          <w:sz w:val="24"/>
        </w:rPr>
      </w:pPr>
      <w:r>
        <w:rPr>
          <w:rFonts w:hint="eastAsia" w:cs="宋体"/>
          <w:sz w:val="24"/>
        </w:rPr>
        <w:t>一、申购和赎回场所</w:t>
      </w:r>
    </w:p>
    <w:p>
      <w:pPr>
        <w:pStyle w:val="21"/>
        <w:adjustRightInd w:val="0"/>
        <w:snapToGrid w:val="0"/>
        <w:ind w:firstLine="480"/>
        <w:rPr>
          <w:rFonts w:cs="宋体"/>
          <w:bCs/>
          <w:sz w:val="24"/>
          <w:szCs w:val="24"/>
        </w:rPr>
      </w:pPr>
      <w:r>
        <w:rPr>
          <w:rFonts w:hint="eastAsia" w:cs="宋体"/>
          <w:bCs/>
          <w:sz w:val="24"/>
          <w:szCs w:val="24"/>
        </w:rPr>
        <w:t>本基金的申购与赎回将通过销售机构进行。具体的销售机构将由基金管理人在本招募说明书“第五部分 相关服务机构”</w:t>
      </w:r>
      <w:r>
        <w:rPr>
          <w:rFonts w:cs="宋体"/>
          <w:bCs/>
          <w:sz w:val="24"/>
          <w:szCs w:val="24"/>
        </w:rPr>
        <w:t>列明</w:t>
      </w:r>
      <w:r>
        <w:rPr>
          <w:rFonts w:hint="eastAsia" w:cs="宋体"/>
          <w:bCs/>
          <w:sz w:val="24"/>
          <w:szCs w:val="24"/>
        </w:rPr>
        <w:t>或在基金管理人网站公示。基金管理人可根据情况变更或增减销售机构，并在基金管理人网站公示。若基金管理人或其指定的销售机构开通电话、传真或网上等交易方式，投资人可通过上述方式进行申购与赎回。基金投资人应当在销售机构办理基金销售业务的营业场所或按销售机构提供的其他方式办理基金份额的申购与赎回。</w:t>
      </w:r>
    </w:p>
    <w:p>
      <w:pPr>
        <w:pStyle w:val="21"/>
        <w:adjustRightInd w:val="0"/>
        <w:snapToGrid w:val="0"/>
        <w:ind w:firstLine="480"/>
        <w:rPr>
          <w:rFonts w:cs="宋体"/>
          <w:sz w:val="24"/>
        </w:rPr>
      </w:pPr>
      <w:r>
        <w:rPr>
          <w:rFonts w:hint="eastAsia" w:cs="宋体"/>
          <w:sz w:val="24"/>
        </w:rPr>
        <w:t>二、基金销售对象</w:t>
      </w:r>
    </w:p>
    <w:p>
      <w:pPr>
        <w:pStyle w:val="21"/>
        <w:adjustRightInd w:val="0"/>
        <w:snapToGrid w:val="0"/>
        <w:ind w:firstLine="480"/>
        <w:rPr>
          <w:rFonts w:cs="宋体"/>
          <w:sz w:val="24"/>
        </w:rPr>
      </w:pPr>
      <w:r>
        <w:rPr>
          <w:rFonts w:hint="eastAsia" w:cs="宋体"/>
          <w:sz w:val="24"/>
        </w:rPr>
        <w:t>符合法律法规规定的可投资于证券投资基金的个人投资者、机构投资者、合格境外投资者以及法律法规或中国证监会允许购买证券投资基金的其他投资人。</w:t>
      </w:r>
    </w:p>
    <w:p>
      <w:pPr>
        <w:pStyle w:val="21"/>
        <w:adjustRightInd w:val="0"/>
        <w:snapToGrid w:val="0"/>
        <w:ind w:firstLine="480"/>
        <w:rPr>
          <w:rFonts w:cs="宋体"/>
          <w:sz w:val="24"/>
        </w:rPr>
      </w:pPr>
      <w:r>
        <w:rPr>
          <w:rFonts w:hint="eastAsia" w:cs="宋体"/>
          <w:sz w:val="24"/>
        </w:rPr>
        <w:t>三、申购和赎回的开放日及时间</w:t>
      </w:r>
    </w:p>
    <w:p>
      <w:pPr>
        <w:pStyle w:val="21"/>
        <w:adjustRightInd w:val="0"/>
        <w:snapToGrid w:val="0"/>
        <w:ind w:firstLine="480"/>
        <w:rPr>
          <w:rFonts w:cs="宋体"/>
          <w:sz w:val="24"/>
        </w:rPr>
      </w:pPr>
      <w:r>
        <w:rPr>
          <w:rFonts w:hint="eastAsia" w:cs="宋体"/>
          <w:sz w:val="24"/>
        </w:rPr>
        <w:t>1、开放日及开放时间</w:t>
      </w:r>
    </w:p>
    <w:p>
      <w:pPr>
        <w:adjustRightInd w:val="0"/>
        <w:snapToGrid w:val="0"/>
        <w:spacing w:line="360" w:lineRule="auto"/>
        <w:ind w:firstLine="480" w:firstLineChars="200"/>
        <w:rPr>
          <w:rFonts w:ascii="宋体" w:hAnsi="宋体"/>
          <w:bCs/>
          <w:sz w:val="24"/>
        </w:rPr>
      </w:pPr>
      <w:r>
        <w:rPr>
          <w:rFonts w:ascii="宋体" w:hAnsi="宋体"/>
          <w:bCs/>
          <w:sz w:val="24"/>
        </w:rPr>
        <w:t>投资人在开放日办理基金份额的申购和赎回，</w:t>
      </w:r>
      <w:r>
        <w:rPr>
          <w:rFonts w:hint="eastAsia" w:ascii="宋体" w:hAnsi="宋体"/>
          <w:bCs/>
          <w:sz w:val="24"/>
        </w:rPr>
        <w:t>开放日的</w:t>
      </w:r>
      <w:r>
        <w:rPr>
          <w:rFonts w:ascii="宋体" w:hAnsi="宋体"/>
          <w:bCs/>
          <w:sz w:val="24"/>
        </w:rPr>
        <w:t>具体业务办理时间为上海证券交易所、深圳证券交易所的正常交易日的交易时间</w:t>
      </w:r>
      <w:r>
        <w:rPr>
          <w:rFonts w:hint="eastAsia" w:ascii="宋体" w:hAnsi="宋体"/>
          <w:bCs/>
          <w:sz w:val="24"/>
        </w:rPr>
        <w:t>，</w:t>
      </w:r>
      <w:r>
        <w:rPr>
          <w:rFonts w:ascii="宋体" w:hAnsi="宋体"/>
          <w:bCs/>
          <w:sz w:val="24"/>
        </w:rPr>
        <w:t>但基金管理人根据法律法规、中国证监会的要求或基金合同的规定公告暂停申购、赎回时除外。</w:t>
      </w:r>
    </w:p>
    <w:p>
      <w:pPr>
        <w:adjustRightInd w:val="0"/>
        <w:snapToGrid w:val="0"/>
        <w:spacing w:line="360" w:lineRule="auto"/>
        <w:ind w:firstLine="480" w:firstLineChars="200"/>
        <w:rPr>
          <w:rFonts w:ascii="宋体" w:hAnsi="宋体"/>
          <w:bCs/>
          <w:sz w:val="24"/>
        </w:rPr>
      </w:pPr>
      <w:r>
        <w:rPr>
          <w:rFonts w:ascii="宋体" w:hAnsi="宋体"/>
          <w:bCs/>
          <w:sz w:val="24"/>
        </w:rPr>
        <w:t>基金合同生效后，若出现新的证券</w:t>
      </w:r>
      <w:r>
        <w:rPr>
          <w:rFonts w:hint="eastAsia" w:ascii="宋体" w:hAnsi="宋体"/>
          <w:bCs/>
          <w:sz w:val="24"/>
        </w:rPr>
        <w:t>/期货</w:t>
      </w:r>
      <w:r>
        <w:rPr>
          <w:rFonts w:ascii="宋体" w:hAnsi="宋体"/>
          <w:bCs/>
          <w:sz w:val="24"/>
        </w:rPr>
        <w:t>交易市场、证券</w:t>
      </w:r>
      <w:r>
        <w:rPr>
          <w:rFonts w:hint="eastAsia" w:ascii="宋体" w:hAnsi="宋体"/>
          <w:bCs/>
          <w:sz w:val="24"/>
        </w:rPr>
        <w:t>/期货</w:t>
      </w:r>
      <w:r>
        <w:rPr>
          <w:rFonts w:ascii="宋体" w:hAnsi="宋体"/>
          <w:bCs/>
          <w:sz w:val="24"/>
        </w:rPr>
        <w:t>交易所交易时间变更或其他特殊情况</w:t>
      </w:r>
      <w:r>
        <w:rPr>
          <w:rFonts w:hint="eastAsia" w:ascii="宋体" w:hAnsi="宋体"/>
          <w:bCs/>
          <w:sz w:val="24"/>
        </w:rPr>
        <w:t>或根据业务需要</w:t>
      </w:r>
      <w:r>
        <w:rPr>
          <w:rFonts w:ascii="宋体" w:hAnsi="宋体"/>
          <w:bCs/>
          <w:sz w:val="24"/>
        </w:rPr>
        <w:t>，基金管理人</w:t>
      </w:r>
      <w:r>
        <w:rPr>
          <w:rFonts w:hint="eastAsia" w:ascii="宋体" w:hAnsi="宋体"/>
          <w:bCs/>
          <w:sz w:val="24"/>
        </w:rPr>
        <w:t>有权</w:t>
      </w:r>
      <w:r>
        <w:rPr>
          <w:rFonts w:ascii="宋体" w:hAnsi="宋体"/>
          <w:bCs/>
          <w:sz w:val="24"/>
        </w:rPr>
        <w:t>视情况对前述开放日及开放时间进行相应的调整，但应在实施日前依照《信息披露办法》的有关规定在</w:t>
      </w:r>
      <w:r>
        <w:rPr>
          <w:rFonts w:hint="eastAsia" w:ascii="宋体" w:hAnsi="宋体"/>
          <w:bCs/>
          <w:sz w:val="24"/>
        </w:rPr>
        <w:t>规定媒介</w:t>
      </w:r>
      <w:r>
        <w:rPr>
          <w:rFonts w:ascii="宋体" w:hAnsi="宋体"/>
          <w:bCs/>
          <w:sz w:val="24"/>
        </w:rPr>
        <w:t>上公告。</w:t>
      </w:r>
    </w:p>
    <w:p>
      <w:pPr>
        <w:pStyle w:val="21"/>
        <w:adjustRightInd w:val="0"/>
        <w:snapToGrid w:val="0"/>
        <w:ind w:firstLine="480"/>
        <w:rPr>
          <w:rFonts w:cs="宋体"/>
          <w:sz w:val="24"/>
        </w:rPr>
      </w:pPr>
      <w:r>
        <w:rPr>
          <w:rFonts w:hint="eastAsia" w:cs="宋体"/>
          <w:sz w:val="24"/>
        </w:rPr>
        <w:t>2、申购、赎回开始日及业务办理时间</w:t>
      </w:r>
    </w:p>
    <w:p>
      <w:pPr>
        <w:pStyle w:val="21"/>
        <w:adjustRightInd w:val="0"/>
        <w:snapToGrid w:val="0"/>
        <w:ind w:firstLine="480"/>
        <w:rPr>
          <w:rFonts w:cs="宋体"/>
          <w:bCs/>
          <w:sz w:val="24"/>
        </w:rPr>
      </w:pPr>
      <w:r>
        <w:rPr>
          <w:rFonts w:hint="eastAsia" w:cs="宋体"/>
          <w:bCs/>
          <w:sz w:val="24"/>
        </w:rPr>
        <w:t>基金管理人可以根据实际情况依法决定本基金开始办理申购的具体日期，具体业务办理时间在申购开始公告中规定。</w:t>
      </w:r>
    </w:p>
    <w:p>
      <w:pPr>
        <w:pStyle w:val="21"/>
        <w:adjustRightInd w:val="0"/>
        <w:snapToGrid w:val="0"/>
        <w:ind w:firstLine="480"/>
        <w:rPr>
          <w:rFonts w:cs="宋体"/>
          <w:bCs/>
          <w:sz w:val="24"/>
        </w:rPr>
      </w:pPr>
      <w:r>
        <w:rPr>
          <w:rFonts w:hint="eastAsia" w:cs="宋体"/>
          <w:bCs/>
          <w:sz w:val="24"/>
        </w:rPr>
        <w:t>基金管理人自基金合同生效之日起不超过3个月开始办理赎回，具体业务办理时间在赎回开始公告中规定。</w:t>
      </w:r>
    </w:p>
    <w:p>
      <w:pPr>
        <w:pStyle w:val="21"/>
        <w:adjustRightInd w:val="0"/>
        <w:snapToGrid w:val="0"/>
        <w:ind w:firstLine="480"/>
        <w:rPr>
          <w:rFonts w:cs="宋体"/>
          <w:bCs/>
          <w:sz w:val="24"/>
        </w:rPr>
      </w:pPr>
      <w:r>
        <w:rPr>
          <w:rFonts w:hint="eastAsia" w:cs="宋体"/>
          <w:bCs/>
          <w:sz w:val="24"/>
        </w:rPr>
        <w:t>在确定申购开始与赎回开始时间后，基金管理人应在申购、赎回开放日前依照《信息披露办法》的有关规定在规定媒介上公告申购与赎回的开始时间。</w:t>
      </w:r>
    </w:p>
    <w:p>
      <w:pPr>
        <w:pStyle w:val="21"/>
        <w:adjustRightInd w:val="0"/>
        <w:snapToGrid w:val="0"/>
        <w:ind w:firstLine="480"/>
        <w:rPr>
          <w:rFonts w:cs="宋体"/>
          <w:sz w:val="24"/>
        </w:rPr>
      </w:pPr>
      <w:r>
        <w:rPr>
          <w:rFonts w:hint="eastAsia" w:cs="宋体"/>
          <w:bCs/>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基金份额申购、赎回的价格</w:t>
      </w:r>
      <w:r>
        <w:rPr>
          <w:rFonts w:hint="eastAsia" w:cs="宋体"/>
          <w:sz w:val="24"/>
        </w:rPr>
        <w:t>。</w:t>
      </w:r>
    </w:p>
    <w:p>
      <w:pPr>
        <w:pStyle w:val="21"/>
        <w:adjustRightInd w:val="0"/>
        <w:snapToGrid w:val="0"/>
        <w:ind w:firstLine="480"/>
        <w:rPr>
          <w:rFonts w:cs="宋体"/>
          <w:sz w:val="24"/>
        </w:rPr>
      </w:pPr>
      <w:r>
        <w:rPr>
          <w:rFonts w:hint="eastAsia" w:cs="宋体"/>
          <w:sz w:val="24"/>
        </w:rPr>
        <w:t>四、申购与赎回的原则</w:t>
      </w:r>
    </w:p>
    <w:p>
      <w:pPr>
        <w:adjustRightInd w:val="0"/>
        <w:snapToGrid w:val="0"/>
        <w:spacing w:line="360" w:lineRule="auto"/>
        <w:ind w:firstLine="480" w:firstLineChars="200"/>
        <w:rPr>
          <w:rFonts w:ascii="宋体" w:hAnsi="宋体"/>
          <w:bCs/>
          <w:sz w:val="24"/>
        </w:rPr>
      </w:pPr>
      <w:r>
        <w:rPr>
          <w:rFonts w:ascii="宋体" w:hAnsi="宋体"/>
          <w:bCs/>
          <w:sz w:val="24"/>
        </w:rPr>
        <w:t>1</w:t>
      </w:r>
      <w:r>
        <w:rPr>
          <w:rFonts w:hint="eastAsia" w:ascii="宋体" w:hAnsi="宋体"/>
          <w:bCs/>
          <w:sz w:val="24"/>
        </w:rPr>
        <w:t>、“</w:t>
      </w:r>
      <w:r>
        <w:rPr>
          <w:rFonts w:ascii="宋体" w:hAnsi="宋体"/>
          <w:bCs/>
          <w:sz w:val="24"/>
        </w:rPr>
        <w:t>未知价</w:t>
      </w:r>
      <w:r>
        <w:rPr>
          <w:rFonts w:hint="eastAsia" w:ascii="宋体" w:hAnsi="宋体"/>
          <w:bCs/>
          <w:sz w:val="24"/>
        </w:rPr>
        <w:t>”</w:t>
      </w:r>
      <w:r>
        <w:rPr>
          <w:rFonts w:ascii="宋体" w:hAnsi="宋体"/>
          <w:bCs/>
          <w:sz w:val="24"/>
        </w:rPr>
        <w:t>原则，即申购、赎回价格以申请当日收市后计算的</w:t>
      </w:r>
      <w:r>
        <w:rPr>
          <w:rFonts w:hint="eastAsia" w:ascii="宋体" w:hAnsi="宋体"/>
          <w:bCs/>
          <w:sz w:val="24"/>
        </w:rPr>
        <w:t>相应类别的</w:t>
      </w:r>
      <w:r>
        <w:rPr>
          <w:rFonts w:ascii="宋体" w:hAnsi="宋体"/>
          <w:bCs/>
          <w:sz w:val="24"/>
        </w:rPr>
        <w:t>基金份额净值为基准进行计算；</w:t>
      </w:r>
    </w:p>
    <w:p>
      <w:pPr>
        <w:adjustRightInd w:val="0"/>
        <w:snapToGrid w:val="0"/>
        <w:spacing w:line="360" w:lineRule="auto"/>
        <w:ind w:firstLine="480" w:firstLineChars="200"/>
        <w:rPr>
          <w:rFonts w:ascii="宋体" w:hAnsi="宋体"/>
          <w:bCs/>
          <w:sz w:val="24"/>
        </w:rPr>
      </w:pPr>
      <w:r>
        <w:rPr>
          <w:rFonts w:ascii="宋体" w:hAnsi="宋体"/>
          <w:bCs/>
          <w:sz w:val="24"/>
        </w:rPr>
        <w:t>2</w:t>
      </w:r>
      <w:r>
        <w:rPr>
          <w:rFonts w:hint="eastAsia" w:ascii="宋体" w:hAnsi="宋体"/>
          <w:bCs/>
          <w:sz w:val="24"/>
        </w:rPr>
        <w:t>、“</w:t>
      </w:r>
      <w:r>
        <w:rPr>
          <w:rFonts w:ascii="宋体" w:hAnsi="宋体"/>
          <w:bCs/>
          <w:sz w:val="24"/>
        </w:rPr>
        <w:t>金额申购、份额赎回</w:t>
      </w:r>
      <w:r>
        <w:rPr>
          <w:rFonts w:hint="eastAsia" w:ascii="宋体" w:hAnsi="宋体"/>
          <w:bCs/>
          <w:sz w:val="24"/>
        </w:rPr>
        <w:t>”</w:t>
      </w:r>
      <w:r>
        <w:rPr>
          <w:rFonts w:ascii="宋体" w:hAnsi="宋体"/>
          <w:bCs/>
          <w:sz w:val="24"/>
        </w:rPr>
        <w:t>原则，即申购以金额申请，赎回以份额申请；</w:t>
      </w:r>
    </w:p>
    <w:p>
      <w:pPr>
        <w:adjustRightInd w:val="0"/>
        <w:snapToGrid w:val="0"/>
        <w:spacing w:line="360" w:lineRule="auto"/>
        <w:ind w:firstLine="480" w:firstLineChars="200"/>
        <w:rPr>
          <w:rFonts w:ascii="宋体" w:hAnsi="宋体"/>
          <w:bCs/>
          <w:sz w:val="24"/>
        </w:rPr>
      </w:pPr>
      <w:r>
        <w:rPr>
          <w:rFonts w:hint="eastAsia" w:ascii="宋体" w:hAnsi="宋体"/>
          <w:bCs/>
          <w:sz w:val="24"/>
        </w:rPr>
        <w:t>3、当日的申购与赎回申请可以在基金管理人规定的时间以内撤销，在当日业务办理时间结束后不得撤销；</w:t>
      </w:r>
    </w:p>
    <w:p>
      <w:pPr>
        <w:adjustRightInd w:val="0"/>
        <w:snapToGrid w:val="0"/>
        <w:spacing w:line="360" w:lineRule="auto"/>
        <w:ind w:firstLine="480" w:firstLineChars="200"/>
        <w:rPr>
          <w:rFonts w:ascii="宋体" w:hAnsi="宋体"/>
          <w:bCs/>
          <w:sz w:val="24"/>
        </w:rPr>
      </w:pPr>
      <w:r>
        <w:rPr>
          <w:rFonts w:hint="eastAsia" w:ascii="宋体" w:hAnsi="宋体"/>
          <w:bCs/>
          <w:sz w:val="24"/>
        </w:rPr>
        <w:t>4、</w:t>
      </w:r>
      <w:r>
        <w:rPr>
          <w:rFonts w:ascii="宋体" w:hAnsi="宋体"/>
          <w:bCs/>
          <w:sz w:val="24"/>
        </w:rPr>
        <w:t>赎回</w:t>
      </w:r>
      <w:r>
        <w:rPr>
          <w:rFonts w:hint="eastAsia" w:ascii="宋体" w:hAnsi="宋体"/>
          <w:bCs/>
          <w:sz w:val="24"/>
        </w:rPr>
        <w:t>遵循“先进先出”原则，即按照投资人持有基金份额登记日期的先后次序进行顺序赎回；</w:t>
      </w:r>
    </w:p>
    <w:p>
      <w:pPr>
        <w:adjustRightInd w:val="0"/>
        <w:snapToGrid w:val="0"/>
        <w:spacing w:line="360" w:lineRule="auto"/>
        <w:ind w:firstLine="480" w:firstLineChars="200"/>
        <w:rPr>
          <w:rFonts w:ascii="宋体" w:hAnsi="宋体"/>
          <w:bCs/>
          <w:sz w:val="24"/>
        </w:rPr>
      </w:pPr>
      <w:r>
        <w:rPr>
          <w:rFonts w:hint="eastAsia" w:ascii="宋体" w:hAnsi="宋体"/>
          <w:bCs/>
          <w:sz w:val="24"/>
        </w:rPr>
        <w:t>5、办理申购、赎回业务时，应当遵循基金份额持有人利益优先原则，确保投资者的合法权益不受损害并得到公平对待。</w:t>
      </w:r>
    </w:p>
    <w:p>
      <w:pPr>
        <w:pStyle w:val="21"/>
        <w:adjustRightInd w:val="0"/>
        <w:snapToGrid w:val="0"/>
        <w:ind w:firstLine="480"/>
        <w:rPr>
          <w:rFonts w:cs="宋体"/>
          <w:sz w:val="24"/>
        </w:rPr>
      </w:pPr>
      <w:r>
        <w:rPr>
          <w:rFonts w:hint="eastAsia" w:cs="宋体"/>
          <w:bCs/>
          <w:sz w:val="24"/>
        </w:rPr>
        <w:t>基金管理人可在</w:t>
      </w:r>
      <w:r>
        <w:rPr>
          <w:rFonts w:ascii="黑体" w:hAnsi="黑体"/>
          <w:bCs/>
          <w:sz w:val="24"/>
          <w:szCs w:val="24"/>
        </w:rPr>
        <w:t>不违反法律法规</w:t>
      </w:r>
      <w:r>
        <w:rPr>
          <w:rFonts w:hint="eastAsia" w:cs="宋体"/>
          <w:bCs/>
          <w:sz w:val="24"/>
        </w:rPr>
        <w:t>的情况下，对上述原则进行调整。基金管理人必须在新规则开始实施前依照《信息披露办法》的有关规定在规定媒介上公告</w:t>
      </w:r>
      <w:r>
        <w:rPr>
          <w:rFonts w:hint="eastAsia" w:cs="宋体"/>
          <w:sz w:val="24"/>
        </w:rPr>
        <w:t>。</w:t>
      </w:r>
    </w:p>
    <w:p>
      <w:pPr>
        <w:pStyle w:val="21"/>
        <w:adjustRightInd w:val="0"/>
        <w:snapToGrid w:val="0"/>
        <w:ind w:firstLine="480"/>
        <w:rPr>
          <w:rFonts w:cs="宋体"/>
          <w:sz w:val="24"/>
        </w:rPr>
      </w:pPr>
      <w:r>
        <w:rPr>
          <w:rFonts w:hint="eastAsia" w:cs="宋体"/>
          <w:sz w:val="24"/>
        </w:rPr>
        <w:t>五、申购与赎回的程序</w:t>
      </w:r>
    </w:p>
    <w:p>
      <w:pPr>
        <w:pStyle w:val="21"/>
        <w:adjustRightInd w:val="0"/>
        <w:snapToGrid w:val="0"/>
        <w:ind w:firstLine="480"/>
        <w:rPr>
          <w:rFonts w:cs="宋体"/>
          <w:bCs/>
          <w:sz w:val="24"/>
        </w:rPr>
      </w:pPr>
      <w:r>
        <w:rPr>
          <w:rFonts w:hint="eastAsia" w:cs="宋体"/>
          <w:bCs/>
          <w:sz w:val="24"/>
        </w:rPr>
        <w:t>1、申购和赎回的申请方式</w:t>
      </w:r>
    </w:p>
    <w:p>
      <w:pPr>
        <w:pStyle w:val="21"/>
        <w:adjustRightInd w:val="0"/>
        <w:snapToGrid w:val="0"/>
        <w:ind w:firstLine="480"/>
        <w:rPr>
          <w:rFonts w:cs="宋体"/>
          <w:bCs/>
          <w:sz w:val="24"/>
        </w:rPr>
      </w:pPr>
      <w:r>
        <w:rPr>
          <w:rFonts w:hint="eastAsia" w:cs="宋体"/>
          <w:bCs/>
          <w:sz w:val="24"/>
        </w:rPr>
        <w:t>投资人必须根据销售机构规定的程序，在开放日的具体业务办理时间内提出申购或赎回的申请。投资人办理申购、赎回等业务时应提交的文件和办理手续、办理时间、处理规则等，在遵守基金合同和招募说明书规定的前提下，以各销售机构的具体规定为准。</w:t>
      </w:r>
    </w:p>
    <w:p>
      <w:pPr>
        <w:pStyle w:val="21"/>
        <w:adjustRightInd w:val="0"/>
        <w:snapToGrid w:val="0"/>
        <w:ind w:firstLine="480"/>
        <w:rPr>
          <w:rFonts w:cs="宋体"/>
          <w:bCs/>
          <w:sz w:val="24"/>
        </w:rPr>
      </w:pPr>
      <w:r>
        <w:rPr>
          <w:rFonts w:hint="eastAsia" w:cs="宋体"/>
          <w:bCs/>
          <w:sz w:val="24"/>
        </w:rPr>
        <w:t>2、申购和赎回的款项支付</w:t>
      </w:r>
    </w:p>
    <w:p>
      <w:pPr>
        <w:pStyle w:val="21"/>
        <w:adjustRightInd w:val="0"/>
        <w:snapToGrid w:val="0"/>
        <w:ind w:firstLine="480"/>
        <w:rPr>
          <w:rFonts w:cs="宋体"/>
          <w:bCs/>
          <w:sz w:val="24"/>
          <w:lang w:val="zh-CN"/>
        </w:rPr>
      </w:pPr>
      <w:r>
        <w:rPr>
          <w:rFonts w:hint="eastAsia" w:cs="宋体"/>
          <w:bCs/>
          <w:sz w:val="24"/>
          <w:lang w:val="zh-CN"/>
        </w:rPr>
        <w:t>投资人申购基金份额时，必须按销售机构规定的方式全额交付申购款项。投资人交付申购款项，申购成立；基金份额登记机构确认基金份额时，申购生效。</w:t>
      </w:r>
    </w:p>
    <w:p>
      <w:pPr>
        <w:pStyle w:val="21"/>
        <w:adjustRightInd w:val="0"/>
        <w:snapToGrid w:val="0"/>
        <w:ind w:firstLine="480"/>
        <w:rPr>
          <w:rFonts w:cs="宋体"/>
          <w:bCs/>
          <w:sz w:val="24"/>
        </w:rPr>
      </w:pPr>
      <w:r>
        <w:rPr>
          <w:rFonts w:hint="eastAsia" w:cs="宋体"/>
          <w:bCs/>
          <w:sz w:val="24"/>
          <w:lang w:val="zh-CN"/>
        </w:rPr>
        <w:t>基金份额持有人递交赎回申请，赎回成立；基金份额登记机构确认赎回时，赎回生效。投资人赎回申请生效后，基金管理人将通过登记机构及其相关基金销售机构在T＋7日（包括该日）内将赎回款项划往基金份额持有人银行账户，但中国证监会另有规定时除外。遇证券</w:t>
      </w:r>
      <w:r>
        <w:rPr>
          <w:rFonts w:hint="eastAsia" w:cs="宋体"/>
          <w:bCs/>
          <w:sz w:val="24"/>
        </w:rPr>
        <w:t>/期货</w:t>
      </w:r>
      <w:r>
        <w:rPr>
          <w:rFonts w:hint="eastAsia" w:cs="宋体"/>
          <w:bCs/>
          <w:sz w:val="24"/>
          <w:lang w:val="zh-CN"/>
        </w:rPr>
        <w:t>交易所或交易市场数据传输延迟、通讯系统故障、银行数据交换系统故障或其它非基金管理人及基金托管人所能控制的因素影响业务处理流程时，赎回款项顺延至上述因素消除的下一个工作日划出。在发生巨额赎回或基金合同载明的其他暂停赎回或延缓支付赎回款项的情形时，款项的支付办法参照基金合同有关条款处理。</w:t>
      </w:r>
    </w:p>
    <w:p>
      <w:pPr>
        <w:pStyle w:val="21"/>
        <w:adjustRightInd w:val="0"/>
        <w:snapToGrid w:val="0"/>
        <w:ind w:firstLine="480"/>
        <w:rPr>
          <w:rFonts w:cs="宋体"/>
          <w:bCs/>
          <w:sz w:val="24"/>
        </w:rPr>
      </w:pPr>
      <w:r>
        <w:rPr>
          <w:rFonts w:hint="eastAsia" w:cs="宋体"/>
          <w:bCs/>
          <w:sz w:val="24"/>
        </w:rPr>
        <w:t>3、申购和赎回申请的确认</w:t>
      </w:r>
    </w:p>
    <w:p>
      <w:pPr>
        <w:pStyle w:val="21"/>
        <w:adjustRightInd w:val="0"/>
        <w:snapToGrid w:val="0"/>
        <w:ind w:firstLine="480"/>
        <w:rPr>
          <w:rFonts w:cs="宋体"/>
          <w:bCs/>
          <w:sz w:val="24"/>
        </w:rPr>
      </w:pPr>
      <w:r>
        <w:rPr>
          <w:rFonts w:hint="eastAsia" w:cs="宋体"/>
          <w:bCs/>
          <w:sz w:val="24"/>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w:t>
      </w:r>
      <w:r>
        <w:rPr>
          <w:rFonts w:hint="eastAsia" w:ascii="黑体" w:hAnsi="黑体"/>
          <w:bCs/>
          <w:sz w:val="24"/>
          <w:szCs w:val="24"/>
        </w:rPr>
        <w:t>不成立或无效</w:t>
      </w:r>
      <w:r>
        <w:rPr>
          <w:rFonts w:hint="eastAsia" w:cs="宋体"/>
          <w:bCs/>
          <w:sz w:val="24"/>
        </w:rPr>
        <w:t>，则申购款项本金将退还给投资人。</w:t>
      </w:r>
    </w:p>
    <w:p>
      <w:pPr>
        <w:pStyle w:val="21"/>
        <w:adjustRightInd w:val="0"/>
        <w:snapToGrid w:val="0"/>
        <w:ind w:firstLine="480"/>
        <w:rPr>
          <w:rFonts w:cs="宋体"/>
          <w:bCs/>
          <w:sz w:val="24"/>
        </w:rPr>
      </w:pPr>
      <w:r>
        <w:rPr>
          <w:rFonts w:hint="eastAsia" w:cs="宋体"/>
          <w:bCs/>
          <w:sz w:val="24"/>
        </w:rPr>
        <w:t>销售机构对申购、赎回申请的受理并不代表申请一定成功，而仅代表销售机构确实接收到申购、赎回申请，申购与赎回申请的确认以登记机构的确认结果为准。对于申请的确认情况，投资人应及时查询，并妥善行使合法权利。因投资人怠于履行该项查询等各项义务，致使其相关权益受损的，基金管理人、基金托管人、基金销售机构不承担由此造成的损失或不利后果。如因申请未得到登记机构的确认而造成的损失，由投资人自行承担。</w:t>
      </w:r>
    </w:p>
    <w:p>
      <w:pPr>
        <w:pStyle w:val="21"/>
        <w:adjustRightInd w:val="0"/>
        <w:snapToGrid w:val="0"/>
        <w:ind w:firstLine="480"/>
        <w:rPr>
          <w:rFonts w:cs="宋体"/>
          <w:sz w:val="24"/>
        </w:rPr>
      </w:pPr>
      <w:r>
        <w:rPr>
          <w:rFonts w:hint="eastAsia" w:cs="宋体"/>
          <w:bCs/>
          <w:sz w:val="24"/>
        </w:rPr>
        <w:t>在</w:t>
      </w:r>
      <w:r>
        <w:rPr>
          <w:rFonts w:hint="eastAsia" w:ascii="黑体" w:hAnsi="黑体"/>
          <w:bCs/>
          <w:sz w:val="24"/>
          <w:szCs w:val="24"/>
        </w:rPr>
        <w:t>不违反法律法规</w:t>
      </w:r>
      <w:r>
        <w:rPr>
          <w:rFonts w:hint="eastAsia" w:cs="宋体"/>
          <w:bCs/>
          <w:sz w:val="24"/>
        </w:rPr>
        <w:t>的范围内，基金管理人可根据业务规则，对上述业务办理时间进行调整并将于开始实施前按照有关规定公告。</w:t>
      </w:r>
    </w:p>
    <w:p>
      <w:pPr>
        <w:pStyle w:val="21"/>
        <w:adjustRightInd w:val="0"/>
        <w:snapToGrid w:val="0"/>
        <w:ind w:firstLine="480"/>
        <w:rPr>
          <w:rFonts w:cs="宋体"/>
          <w:sz w:val="24"/>
        </w:rPr>
      </w:pPr>
      <w:r>
        <w:rPr>
          <w:rFonts w:hint="eastAsia" w:cs="宋体"/>
          <w:sz w:val="24"/>
        </w:rPr>
        <w:t>六、申购金额和赎回份额的限制</w:t>
      </w:r>
    </w:p>
    <w:p>
      <w:pPr>
        <w:pStyle w:val="21"/>
        <w:adjustRightInd w:val="0"/>
        <w:snapToGrid w:val="0"/>
        <w:ind w:firstLine="480"/>
        <w:rPr>
          <w:rFonts w:cs="宋体"/>
          <w:sz w:val="24"/>
        </w:rPr>
      </w:pPr>
      <w:r>
        <w:rPr>
          <w:rFonts w:hint="eastAsia" w:cs="宋体"/>
          <w:sz w:val="24"/>
        </w:rPr>
        <w:t>1、在本基金销售机构的销售网点及网上直销交易系统进行申购时，投资人以金额申请，每个基金账户首笔申购的最低金额为人民币1元，每笔追加申购的最低金额为人民币1元。直销中心办理业务时以其相关规则为准，基金管理人直销机构或各销售机构对最低申购限额及交易级差有其他规定的，从其规定，但不得低于上述最低申购金额。投资人将当期分配的基金收益转为相应类别的基金份额进行再投资时，不受最低申购金额的限制。</w:t>
      </w:r>
    </w:p>
    <w:p>
      <w:pPr>
        <w:pStyle w:val="21"/>
        <w:adjustRightInd w:val="0"/>
        <w:snapToGrid w:val="0"/>
        <w:ind w:firstLine="480"/>
        <w:rPr>
          <w:rFonts w:cs="宋体"/>
          <w:sz w:val="24"/>
        </w:rPr>
      </w:pPr>
      <w:r>
        <w:rPr>
          <w:rFonts w:hint="eastAsia" w:cs="宋体"/>
          <w:sz w:val="24"/>
        </w:rPr>
        <w:t>2、基金份额持有人在销售机构办理赎回时，每笔赎回申请的最低份额为1份基金份额；基金份额持有人可将其全部或部分基金份额赎回，基金份额持有人办理某笔赎回业务时或办理某笔赎回业务后在销售机构（网点）单个交易账户保留的基金份额余额不足1份的，余额部分基金份额必须一同赎回。</w:t>
      </w:r>
    </w:p>
    <w:p>
      <w:pPr>
        <w:pStyle w:val="21"/>
        <w:adjustRightInd w:val="0"/>
        <w:snapToGrid w:val="0"/>
        <w:ind w:firstLine="480"/>
        <w:rPr>
          <w:rFonts w:cs="宋体"/>
          <w:bCs/>
          <w:sz w:val="24"/>
        </w:rPr>
      </w:pPr>
      <w:r>
        <w:rPr>
          <w:rFonts w:hint="eastAsia" w:cs="宋体"/>
          <w:bCs/>
          <w:sz w:val="24"/>
        </w:rPr>
        <w:t>3、基金管理人可以规定单个投资人累计持有的基金份额上限或累计持有的基金份额占基金份额总数的比例上限，具体规定请参见招募说明书更新或相关公告。</w:t>
      </w:r>
    </w:p>
    <w:p>
      <w:pPr>
        <w:pStyle w:val="21"/>
        <w:adjustRightInd w:val="0"/>
        <w:snapToGrid w:val="0"/>
        <w:ind w:firstLine="480"/>
        <w:rPr>
          <w:rFonts w:cs="宋体"/>
          <w:bCs/>
          <w:sz w:val="24"/>
        </w:rPr>
      </w:pPr>
      <w:r>
        <w:rPr>
          <w:rFonts w:hint="eastAsia" w:cs="宋体"/>
          <w:bCs/>
          <w:sz w:val="24"/>
        </w:rPr>
        <w:t>4、当接受申购申请对存量基金份额持有人利益构成潜在重大不利影响时，基金管理人应当采取设定单一投资人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pPr>
        <w:adjustRightInd w:val="0"/>
        <w:snapToGrid w:val="0"/>
        <w:spacing w:line="360" w:lineRule="auto"/>
        <w:ind w:firstLine="480" w:firstLineChars="200"/>
        <w:rPr>
          <w:rFonts w:ascii="宋体" w:hAnsi="宋体" w:cs="宋体"/>
          <w:sz w:val="24"/>
        </w:rPr>
      </w:pPr>
      <w:r>
        <w:rPr>
          <w:rFonts w:hint="eastAsia" w:cs="宋体"/>
          <w:bCs/>
          <w:sz w:val="24"/>
        </w:rPr>
        <w:t>5、基金管理人可在</w:t>
      </w:r>
      <w:r>
        <w:rPr>
          <w:rFonts w:hint="eastAsia" w:ascii="黑体" w:hAnsi="黑体"/>
          <w:bCs/>
          <w:sz w:val="24"/>
        </w:rPr>
        <w:t>不违反法律法规</w:t>
      </w:r>
      <w:r>
        <w:rPr>
          <w:rFonts w:hint="eastAsia" w:cs="宋体"/>
          <w:bCs/>
          <w:sz w:val="24"/>
        </w:rPr>
        <w:t>的情况下，调整上述规定申购金额和赎回份额的数量限制，或者新增基金规模控制措施。基金管理人必须在调整前依照《信息披露办法》的有关规定在规定媒介上公告</w:t>
      </w:r>
      <w:r>
        <w:rPr>
          <w:rFonts w:hint="eastAsia" w:ascii="宋体" w:hAnsi="宋体" w:cs="宋体"/>
          <w:sz w:val="24"/>
        </w:rPr>
        <w:t>。</w:t>
      </w:r>
    </w:p>
    <w:p>
      <w:pPr>
        <w:pStyle w:val="21"/>
        <w:adjustRightInd w:val="0"/>
        <w:snapToGrid w:val="0"/>
        <w:ind w:firstLine="480"/>
        <w:rPr>
          <w:rFonts w:cs="宋体"/>
          <w:sz w:val="24"/>
        </w:rPr>
      </w:pPr>
      <w:r>
        <w:rPr>
          <w:rFonts w:hint="eastAsia" w:cs="宋体"/>
          <w:sz w:val="24"/>
        </w:rPr>
        <w:t>七、申购和赎回的费用及其用途</w:t>
      </w:r>
    </w:p>
    <w:p>
      <w:pPr>
        <w:pStyle w:val="21"/>
        <w:adjustRightInd w:val="0"/>
        <w:snapToGrid w:val="0"/>
        <w:ind w:firstLine="480"/>
        <w:rPr>
          <w:rFonts w:cs="宋体"/>
          <w:sz w:val="24"/>
        </w:rPr>
      </w:pPr>
      <w:r>
        <w:rPr>
          <w:rFonts w:hint="eastAsia" w:cs="宋体"/>
          <w:sz w:val="24"/>
        </w:rPr>
        <w:t>1、申购费率</w:t>
      </w:r>
    </w:p>
    <w:p>
      <w:pPr>
        <w:pStyle w:val="21"/>
        <w:adjustRightInd w:val="0"/>
        <w:snapToGrid w:val="0"/>
        <w:ind w:firstLine="480"/>
        <w:rPr>
          <w:rFonts w:cs="宋体"/>
          <w:sz w:val="24"/>
        </w:rPr>
      </w:pPr>
      <w:r>
        <w:rPr>
          <w:rFonts w:hint="eastAsia" w:cs="宋体"/>
          <w:sz w:val="24"/>
        </w:rPr>
        <w:t>本基金A类基金份额在申购时收取基金申购费用；C类基金份额不收取申购费用。</w:t>
      </w:r>
    </w:p>
    <w:p>
      <w:pPr>
        <w:pStyle w:val="21"/>
        <w:adjustRightInd w:val="0"/>
        <w:snapToGrid w:val="0"/>
        <w:ind w:firstLine="480"/>
        <w:rPr>
          <w:rFonts w:cs="宋体"/>
          <w:sz w:val="24"/>
        </w:rPr>
      </w:pPr>
      <w:r>
        <w:rPr>
          <w:rFonts w:hint="eastAsia" w:cs="宋体"/>
          <w:sz w:val="24"/>
        </w:rPr>
        <w:t>本基金申购费在投资人申购A类基金份额时收取。</w:t>
      </w:r>
      <w:r>
        <w:rPr>
          <w:bCs/>
          <w:sz w:val="24"/>
          <w:szCs w:val="24"/>
        </w:rPr>
        <w:t>A类</w:t>
      </w:r>
      <w:r>
        <w:rPr>
          <w:rFonts w:hint="eastAsia"/>
          <w:bCs/>
          <w:sz w:val="24"/>
          <w:szCs w:val="24"/>
        </w:rPr>
        <w:t>基金</w:t>
      </w:r>
      <w:r>
        <w:rPr>
          <w:bCs/>
          <w:sz w:val="24"/>
          <w:szCs w:val="24"/>
        </w:rPr>
        <w:t>份额的</w:t>
      </w:r>
      <w:r>
        <w:rPr>
          <w:rFonts w:hint="eastAsia" w:cs="宋体"/>
          <w:sz w:val="24"/>
        </w:rPr>
        <w:t>申购费用由申购本基金A类基金份额的投资人承担，主要用于本基金的市场推广、销售、登记等各项费用，不列入基金财产。投资人在一天之内如果有多笔申购，适用费率按单笔分别计算。</w:t>
      </w:r>
    </w:p>
    <w:p>
      <w:pPr>
        <w:pStyle w:val="21"/>
        <w:adjustRightInd w:val="0"/>
        <w:snapToGrid w:val="0"/>
        <w:ind w:firstLine="480"/>
        <w:rPr>
          <w:sz w:val="24"/>
        </w:rPr>
      </w:pPr>
      <w:r>
        <w:rPr>
          <w:rFonts w:hint="eastAsia" w:cs="宋体"/>
          <w:sz w:val="24"/>
        </w:rPr>
        <w:t>投资人申购本基金A类基金份额所适用的申购费率如下所示：</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438"/>
        <w:gridCol w:w="3483"/>
        <w:gridCol w:w="34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94" w:hRule="atLeast"/>
          <w:jc w:val="center"/>
        </w:trPr>
        <w:tc>
          <w:tcPr>
            <w:tcW w:w="1438" w:type="dxa"/>
            <w:vMerge w:val="restart"/>
            <w:tcMar>
              <w:top w:w="15" w:type="dxa"/>
              <w:left w:w="15" w:type="dxa"/>
              <w:bottom w:w="0" w:type="dxa"/>
              <w:right w:w="15" w:type="dxa"/>
            </w:tcMar>
            <w:vAlign w:val="center"/>
          </w:tcPr>
          <w:p>
            <w:pPr>
              <w:pStyle w:val="60"/>
              <w:adjustRightInd/>
              <w:snapToGrid/>
              <w:ind w:firstLine="0" w:firstLineChars="0"/>
              <w:jc w:val="center"/>
              <w:rPr>
                <w:rFonts w:hAnsi="宋体"/>
                <w:b/>
                <w:sz w:val="24"/>
                <w:szCs w:val="24"/>
              </w:rPr>
            </w:pPr>
            <w:r>
              <w:rPr>
                <w:rFonts w:hint="eastAsia" w:hAnsi="宋体"/>
                <w:b/>
                <w:sz w:val="24"/>
                <w:szCs w:val="24"/>
              </w:rPr>
              <w:t>A类基金份额</w:t>
            </w:r>
          </w:p>
          <w:p>
            <w:pPr>
              <w:pStyle w:val="60"/>
              <w:adjustRightInd/>
              <w:snapToGrid/>
              <w:ind w:firstLine="0" w:firstLineChars="0"/>
              <w:jc w:val="center"/>
              <w:rPr>
                <w:rFonts w:hAnsi="宋体"/>
                <w:b/>
                <w:sz w:val="24"/>
                <w:szCs w:val="24"/>
              </w:rPr>
            </w:pPr>
            <w:r>
              <w:rPr>
                <w:rFonts w:hint="eastAsia" w:hAnsi="宋体"/>
                <w:b/>
                <w:sz w:val="24"/>
                <w:szCs w:val="24"/>
              </w:rPr>
              <w:t>申购费率</w:t>
            </w:r>
          </w:p>
        </w:tc>
        <w:tc>
          <w:tcPr>
            <w:tcW w:w="3483" w:type="dxa"/>
            <w:tcMar>
              <w:top w:w="15" w:type="dxa"/>
              <w:left w:w="15" w:type="dxa"/>
              <w:bottom w:w="0" w:type="dxa"/>
              <w:right w:w="15" w:type="dxa"/>
            </w:tcMar>
            <w:vAlign w:val="center"/>
          </w:tcPr>
          <w:p>
            <w:pPr>
              <w:widowControl/>
              <w:spacing w:line="360" w:lineRule="auto"/>
              <w:jc w:val="center"/>
              <w:rPr>
                <w:rFonts w:ascii="宋体" w:hAnsi="宋体"/>
                <w:b/>
                <w:kern w:val="0"/>
                <w:sz w:val="24"/>
              </w:rPr>
            </w:pPr>
            <w:r>
              <w:rPr>
                <w:rFonts w:hint="eastAsia" w:ascii="宋体" w:hAnsi="宋体"/>
                <w:b/>
                <w:sz w:val="24"/>
              </w:rPr>
              <w:t>申购金额（M,含申购费）</w:t>
            </w:r>
          </w:p>
        </w:tc>
        <w:tc>
          <w:tcPr>
            <w:tcW w:w="3409" w:type="dxa"/>
            <w:vAlign w:val="center"/>
          </w:tcPr>
          <w:p>
            <w:pPr>
              <w:widowControl/>
              <w:spacing w:line="360" w:lineRule="auto"/>
              <w:jc w:val="center"/>
              <w:rPr>
                <w:rFonts w:ascii="宋体" w:hAnsi="宋体"/>
                <w:b/>
                <w:kern w:val="0"/>
                <w:sz w:val="24"/>
              </w:rPr>
            </w:pPr>
            <w:r>
              <w:rPr>
                <w:rFonts w:hint="eastAsia" w:ascii="宋体" w:hAnsi="宋体"/>
                <w:b/>
                <w:kern w:val="0"/>
                <w:sz w:val="24"/>
              </w:rPr>
              <w:t>申购费率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0" w:hRule="atLeast"/>
          <w:jc w:val="center"/>
        </w:trPr>
        <w:tc>
          <w:tcPr>
            <w:tcW w:w="1438" w:type="dxa"/>
            <w:vMerge w:val="continue"/>
            <w:tcMar>
              <w:top w:w="15" w:type="dxa"/>
              <w:left w:w="15" w:type="dxa"/>
              <w:bottom w:w="0" w:type="dxa"/>
              <w:right w:w="15" w:type="dxa"/>
            </w:tcMar>
            <w:vAlign w:val="center"/>
          </w:tcPr>
          <w:p>
            <w:pPr>
              <w:autoSpaceDE w:val="0"/>
              <w:autoSpaceDN w:val="0"/>
              <w:spacing w:line="360" w:lineRule="auto"/>
              <w:jc w:val="center"/>
              <w:rPr>
                <w:rFonts w:ascii="宋体" w:hAnsi="宋体" w:cs="宋体"/>
                <w:b/>
                <w:sz w:val="24"/>
                <w:lang w:val="zh-CN"/>
              </w:rPr>
            </w:pPr>
          </w:p>
        </w:tc>
        <w:tc>
          <w:tcPr>
            <w:tcW w:w="3483" w:type="dxa"/>
            <w:tcMar>
              <w:top w:w="15" w:type="dxa"/>
              <w:left w:w="15" w:type="dxa"/>
              <w:bottom w:w="0" w:type="dxa"/>
              <w:right w:w="15" w:type="dxa"/>
            </w:tcMar>
            <w:vAlign w:val="center"/>
          </w:tcPr>
          <w:p>
            <w:pPr>
              <w:spacing w:line="360" w:lineRule="auto"/>
              <w:ind w:left="1" w:leftChars="-7" w:hanging="16" w:hangingChars="7"/>
              <w:jc w:val="center"/>
              <w:rPr>
                <w:rFonts w:ascii="宋体" w:hAnsi="宋体"/>
                <w:sz w:val="24"/>
              </w:rPr>
            </w:pPr>
            <w:r>
              <w:rPr>
                <w:rFonts w:hint="eastAsia" w:ascii="宋体" w:hAnsi="宋体"/>
                <w:sz w:val="24"/>
              </w:rPr>
              <w:t>M＜</w:t>
            </w:r>
            <w:r>
              <w:rPr>
                <w:rFonts w:ascii="宋体" w:hAnsi="宋体"/>
                <w:sz w:val="24"/>
              </w:rPr>
              <w:t>100</w:t>
            </w:r>
            <w:r>
              <w:rPr>
                <w:rFonts w:hint="eastAsia" w:ascii="宋体" w:hAnsi="宋体"/>
                <w:sz w:val="24"/>
              </w:rPr>
              <w:t>万元</w:t>
            </w:r>
          </w:p>
        </w:tc>
        <w:tc>
          <w:tcPr>
            <w:tcW w:w="3409" w:type="dxa"/>
            <w:vAlign w:val="center"/>
          </w:tcPr>
          <w:p>
            <w:pPr>
              <w:spacing w:line="360" w:lineRule="auto"/>
              <w:jc w:val="center"/>
              <w:rPr>
                <w:rFonts w:ascii="宋体" w:hAnsi="宋体"/>
                <w:kern w:val="0"/>
                <w:sz w:val="24"/>
              </w:rPr>
            </w:pPr>
            <w:r>
              <w:rPr>
                <w:rFonts w:ascii="宋体" w:hAnsi="宋体"/>
                <w:sz w:val="24"/>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0" w:hRule="atLeast"/>
          <w:jc w:val="center"/>
        </w:trPr>
        <w:tc>
          <w:tcPr>
            <w:tcW w:w="1438" w:type="dxa"/>
            <w:vMerge w:val="continue"/>
            <w:tcMar>
              <w:top w:w="15" w:type="dxa"/>
              <w:left w:w="15" w:type="dxa"/>
              <w:bottom w:w="0" w:type="dxa"/>
              <w:right w:w="15" w:type="dxa"/>
            </w:tcMar>
            <w:vAlign w:val="center"/>
          </w:tcPr>
          <w:p>
            <w:pPr>
              <w:autoSpaceDE w:val="0"/>
              <w:autoSpaceDN w:val="0"/>
              <w:spacing w:line="360" w:lineRule="auto"/>
              <w:jc w:val="center"/>
              <w:rPr>
                <w:rFonts w:ascii="宋体" w:hAnsi="宋体" w:cs="宋体"/>
                <w:b/>
                <w:sz w:val="24"/>
                <w:lang w:val="zh-CN"/>
              </w:rPr>
            </w:pPr>
          </w:p>
        </w:tc>
        <w:tc>
          <w:tcPr>
            <w:tcW w:w="3483" w:type="dxa"/>
            <w:tcMar>
              <w:top w:w="15" w:type="dxa"/>
              <w:left w:w="15" w:type="dxa"/>
              <w:bottom w:w="0" w:type="dxa"/>
              <w:right w:w="15" w:type="dxa"/>
            </w:tcMar>
          </w:tcPr>
          <w:p>
            <w:pPr>
              <w:spacing w:line="360" w:lineRule="auto"/>
              <w:ind w:left="1" w:leftChars="-7" w:hanging="16" w:hangingChars="7"/>
              <w:jc w:val="center"/>
              <w:rPr>
                <w:rFonts w:ascii="宋体" w:hAnsi="宋体"/>
                <w:sz w:val="24"/>
              </w:rPr>
            </w:pPr>
            <w:r>
              <w:rPr>
                <w:rFonts w:hint="eastAsia" w:ascii="宋体" w:hAnsi="宋体"/>
                <w:sz w:val="24"/>
              </w:rPr>
              <w:t>100万元≤M＜</w:t>
            </w:r>
            <w:r>
              <w:rPr>
                <w:rFonts w:ascii="宋体" w:hAnsi="宋体"/>
                <w:sz w:val="24"/>
              </w:rPr>
              <w:t>5</w:t>
            </w:r>
            <w:r>
              <w:rPr>
                <w:rFonts w:hint="eastAsia" w:ascii="宋体" w:hAnsi="宋体"/>
                <w:sz w:val="24"/>
              </w:rPr>
              <w:t>00万元</w:t>
            </w:r>
          </w:p>
        </w:tc>
        <w:tc>
          <w:tcPr>
            <w:tcW w:w="3409" w:type="dxa"/>
            <w:vAlign w:val="center"/>
          </w:tcPr>
          <w:p>
            <w:pPr>
              <w:spacing w:line="360" w:lineRule="auto"/>
              <w:jc w:val="center"/>
              <w:rPr>
                <w:rFonts w:ascii="宋体" w:hAnsi="宋体"/>
                <w:kern w:val="0"/>
                <w:sz w:val="24"/>
              </w:rPr>
            </w:pPr>
            <w:r>
              <w:rPr>
                <w:rFonts w:hint="eastAsia" w:ascii="宋体" w:hAnsi="宋体"/>
                <w:sz w:val="24"/>
              </w:rPr>
              <w:t>0.</w:t>
            </w:r>
            <w:r>
              <w:rPr>
                <w:rFonts w:ascii="宋体" w:hAnsi="宋体"/>
                <w:sz w:val="24"/>
              </w:rPr>
              <w:t>6</w:t>
            </w:r>
            <w:r>
              <w:rPr>
                <w:rFonts w:hint="eastAsia" w:ascii="宋体" w:hAnsi="宋体"/>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94" w:hRule="atLeast"/>
          <w:jc w:val="center"/>
        </w:trPr>
        <w:tc>
          <w:tcPr>
            <w:tcW w:w="1438" w:type="dxa"/>
            <w:vMerge w:val="continue"/>
            <w:tcMar>
              <w:top w:w="15" w:type="dxa"/>
              <w:left w:w="15" w:type="dxa"/>
              <w:bottom w:w="0" w:type="dxa"/>
              <w:right w:w="15" w:type="dxa"/>
            </w:tcMar>
            <w:vAlign w:val="center"/>
          </w:tcPr>
          <w:p>
            <w:pPr>
              <w:autoSpaceDE w:val="0"/>
              <w:autoSpaceDN w:val="0"/>
              <w:spacing w:line="360" w:lineRule="auto"/>
              <w:jc w:val="center"/>
              <w:rPr>
                <w:rFonts w:ascii="宋体" w:hAnsi="宋体" w:cs="宋体"/>
                <w:b/>
                <w:sz w:val="24"/>
                <w:lang w:val="zh-CN"/>
              </w:rPr>
            </w:pPr>
          </w:p>
        </w:tc>
        <w:tc>
          <w:tcPr>
            <w:tcW w:w="3483" w:type="dxa"/>
            <w:tcMar>
              <w:top w:w="15" w:type="dxa"/>
              <w:left w:w="15" w:type="dxa"/>
              <w:bottom w:w="0" w:type="dxa"/>
              <w:right w:w="15" w:type="dxa"/>
            </w:tcMar>
            <w:vAlign w:val="center"/>
          </w:tcPr>
          <w:p>
            <w:pPr>
              <w:spacing w:line="360" w:lineRule="auto"/>
              <w:ind w:left="1" w:leftChars="-7" w:hanging="16" w:hangingChars="7"/>
              <w:jc w:val="center"/>
              <w:rPr>
                <w:rFonts w:ascii="宋体" w:hAnsi="宋体"/>
                <w:sz w:val="24"/>
              </w:rPr>
            </w:pPr>
            <w:r>
              <w:rPr>
                <w:rFonts w:hint="eastAsia" w:ascii="宋体" w:hAnsi="宋体"/>
                <w:sz w:val="24"/>
              </w:rPr>
              <w:t>M≥500万元</w:t>
            </w:r>
          </w:p>
        </w:tc>
        <w:tc>
          <w:tcPr>
            <w:tcW w:w="3409" w:type="dxa"/>
            <w:vAlign w:val="center"/>
          </w:tcPr>
          <w:p>
            <w:pPr>
              <w:spacing w:line="360" w:lineRule="auto"/>
              <w:jc w:val="center"/>
              <w:rPr>
                <w:rFonts w:ascii="宋体" w:hAnsi="宋体"/>
                <w:kern w:val="0"/>
                <w:sz w:val="24"/>
              </w:rPr>
            </w:pPr>
            <w:r>
              <w:rPr>
                <w:rFonts w:hint="eastAsia" w:ascii="宋体" w:hAnsi="宋体"/>
                <w:kern w:val="0"/>
                <w:sz w:val="24"/>
              </w:rPr>
              <w:t>按笔收取，1,000元/笔</w:t>
            </w:r>
          </w:p>
        </w:tc>
      </w:tr>
    </w:tbl>
    <w:p>
      <w:pPr>
        <w:pStyle w:val="21"/>
        <w:adjustRightInd w:val="0"/>
        <w:snapToGrid w:val="0"/>
        <w:ind w:firstLine="480"/>
        <w:rPr>
          <w:sz w:val="24"/>
        </w:rPr>
      </w:pPr>
      <w:r>
        <w:rPr>
          <w:rFonts w:hint="eastAsia"/>
          <w:sz w:val="24"/>
        </w:rPr>
        <w:t>2、赎回费率</w:t>
      </w:r>
    </w:p>
    <w:p>
      <w:pPr>
        <w:pStyle w:val="21"/>
        <w:adjustRightInd w:val="0"/>
        <w:snapToGrid w:val="0"/>
        <w:ind w:firstLine="480"/>
        <w:rPr>
          <w:sz w:val="24"/>
        </w:rPr>
      </w:pPr>
      <w:r>
        <w:rPr>
          <w:sz w:val="24"/>
        </w:rPr>
        <w:t>本基金的赎回费用由赎回本基金各类基金份额的基金份额持有人承担，赎回费用在基金份额持有人赎回本</w:t>
      </w:r>
      <w:r>
        <w:rPr>
          <w:rFonts w:hint="eastAsia"/>
          <w:sz w:val="24"/>
        </w:rPr>
        <w:t>基金相应类别</w:t>
      </w:r>
      <w:r>
        <w:rPr>
          <w:sz w:val="24"/>
        </w:rPr>
        <w:t>基金份额时收取。赎回费未</w:t>
      </w:r>
      <w:r>
        <w:rPr>
          <w:rFonts w:hint="eastAsia"/>
          <w:sz w:val="24"/>
        </w:rPr>
        <w:t>计</w:t>
      </w:r>
      <w:r>
        <w:rPr>
          <w:sz w:val="24"/>
        </w:rPr>
        <w:t>入基金财产的部分用于支付登记费和其他必要的手续费。</w:t>
      </w:r>
    </w:p>
    <w:p>
      <w:pPr>
        <w:pStyle w:val="21"/>
        <w:adjustRightInd w:val="0"/>
        <w:snapToGrid w:val="0"/>
        <w:ind w:firstLine="480"/>
        <w:rPr>
          <w:sz w:val="24"/>
        </w:rPr>
      </w:pPr>
      <w:r>
        <w:rPr>
          <w:rFonts w:hint="eastAsia"/>
          <w:sz w:val="24"/>
        </w:rPr>
        <w:t>（1）A类基金份额的赎回费率</w:t>
      </w:r>
    </w:p>
    <w:p>
      <w:pPr>
        <w:pStyle w:val="21"/>
        <w:adjustRightInd w:val="0"/>
        <w:snapToGrid w:val="0"/>
        <w:ind w:firstLine="480"/>
        <w:rPr>
          <w:sz w:val="24"/>
        </w:rPr>
      </w:pPr>
      <w:r>
        <w:rPr>
          <w:rFonts w:hint="eastAsia"/>
          <w:bCs/>
          <w:sz w:val="24"/>
        </w:rPr>
        <w:t>本基金对持续持有A类</w:t>
      </w:r>
      <w:r>
        <w:rPr>
          <w:bCs/>
          <w:sz w:val="24"/>
        </w:rPr>
        <w:t>基金份额</w:t>
      </w:r>
      <w:r>
        <w:rPr>
          <w:rFonts w:hint="eastAsia"/>
          <w:bCs/>
          <w:sz w:val="24"/>
        </w:rPr>
        <w:t>少于</w:t>
      </w:r>
      <w:r>
        <w:rPr>
          <w:bCs/>
          <w:sz w:val="24"/>
        </w:rPr>
        <w:t>30</w:t>
      </w:r>
      <w:r>
        <w:rPr>
          <w:rFonts w:hint="eastAsia"/>
          <w:bCs/>
          <w:sz w:val="24"/>
        </w:rPr>
        <w:t>日的投资人收取的赎回费，将全额计入基金财产</w:t>
      </w:r>
      <w:r>
        <w:rPr>
          <w:rFonts w:hint="eastAsia"/>
          <w:sz w:val="24"/>
        </w:rPr>
        <w:t>。</w:t>
      </w:r>
    </w:p>
    <w:p>
      <w:pPr>
        <w:pStyle w:val="21"/>
        <w:adjustRightInd w:val="0"/>
        <w:snapToGrid w:val="0"/>
        <w:ind w:firstLine="480"/>
        <w:rPr>
          <w:sz w:val="24"/>
        </w:rPr>
      </w:pPr>
      <w:r>
        <w:rPr>
          <w:rFonts w:hint="eastAsia"/>
          <w:sz w:val="24"/>
        </w:rPr>
        <w:t>本</w:t>
      </w:r>
      <w:r>
        <w:rPr>
          <w:sz w:val="24"/>
        </w:rPr>
        <w:t>基金</w:t>
      </w:r>
      <w:r>
        <w:rPr>
          <w:rFonts w:hint="eastAsia"/>
          <w:sz w:val="24"/>
        </w:rPr>
        <w:t>A类基金</w:t>
      </w:r>
      <w:r>
        <w:rPr>
          <w:sz w:val="24"/>
        </w:rPr>
        <w:t>份额</w:t>
      </w:r>
      <w:r>
        <w:rPr>
          <w:rFonts w:hint="eastAsia"/>
          <w:sz w:val="24"/>
        </w:rPr>
        <w:t>的</w:t>
      </w:r>
      <w:r>
        <w:rPr>
          <w:sz w:val="24"/>
        </w:rPr>
        <w:t>赎回费率</w:t>
      </w:r>
      <w:r>
        <w:rPr>
          <w:rFonts w:hint="eastAsia"/>
          <w:sz w:val="24"/>
        </w:rPr>
        <w:t>按持有期限的长短分档，具体如下：</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483"/>
        <w:gridCol w:w="3777"/>
        <w:gridCol w:w="29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3" w:hRule="atLeast"/>
          <w:jc w:val="center"/>
        </w:trPr>
        <w:tc>
          <w:tcPr>
            <w:tcW w:w="1483" w:type="dxa"/>
            <w:vMerge w:val="restart"/>
            <w:tcMar>
              <w:top w:w="15" w:type="dxa"/>
              <w:left w:w="15" w:type="dxa"/>
              <w:bottom w:w="0" w:type="dxa"/>
              <w:right w:w="15" w:type="dxa"/>
            </w:tcMar>
            <w:vAlign w:val="center"/>
          </w:tcPr>
          <w:p>
            <w:pPr>
              <w:pStyle w:val="21"/>
              <w:adjustRightInd w:val="0"/>
              <w:snapToGrid w:val="0"/>
              <w:ind w:firstLine="0" w:firstLineChars="0"/>
              <w:jc w:val="center"/>
              <w:rPr>
                <w:b/>
                <w:sz w:val="24"/>
              </w:rPr>
            </w:pPr>
            <w:bookmarkStart w:id="33" w:name="_Toc378682822"/>
            <w:bookmarkStart w:id="34" w:name="_Toc378682929"/>
            <w:r>
              <w:rPr>
                <w:rFonts w:hint="eastAsia"/>
                <w:b/>
                <w:sz w:val="24"/>
              </w:rPr>
              <w:t>A类</w:t>
            </w:r>
            <w:r>
              <w:rPr>
                <w:b/>
                <w:sz w:val="24"/>
              </w:rPr>
              <w:t>基金份额</w:t>
            </w:r>
          </w:p>
          <w:p>
            <w:pPr>
              <w:pStyle w:val="81"/>
              <w:spacing w:before="0" w:line="360" w:lineRule="auto"/>
              <w:ind w:firstLine="0" w:firstLineChars="0"/>
              <w:jc w:val="center"/>
              <w:outlineLvl w:val="9"/>
              <w:rPr>
                <w:rFonts w:ascii="宋体" w:hAnsi="宋体" w:eastAsia="宋体"/>
                <w:sz w:val="24"/>
              </w:rPr>
            </w:pPr>
            <w:r>
              <w:rPr>
                <w:rFonts w:hint="eastAsia" w:ascii="宋体" w:hAnsi="宋体" w:eastAsia="宋体"/>
                <w:kern w:val="2"/>
                <w:sz w:val="24"/>
                <w:szCs w:val="20"/>
              </w:rPr>
              <w:t>赎回费率</w:t>
            </w:r>
            <w:bookmarkEnd w:id="33"/>
            <w:bookmarkEnd w:id="34"/>
          </w:p>
        </w:tc>
        <w:tc>
          <w:tcPr>
            <w:tcW w:w="3777" w:type="dxa"/>
            <w:tcMar>
              <w:top w:w="15" w:type="dxa"/>
              <w:left w:w="15" w:type="dxa"/>
              <w:bottom w:w="0" w:type="dxa"/>
              <w:right w:w="15" w:type="dxa"/>
            </w:tcMar>
            <w:vAlign w:val="center"/>
          </w:tcPr>
          <w:p>
            <w:pPr>
              <w:widowControl/>
              <w:spacing w:line="360" w:lineRule="auto"/>
              <w:jc w:val="center"/>
              <w:rPr>
                <w:rFonts w:ascii="宋体" w:hAnsi="宋体"/>
                <w:b/>
                <w:kern w:val="0"/>
                <w:sz w:val="24"/>
              </w:rPr>
            </w:pPr>
            <w:r>
              <w:rPr>
                <w:rFonts w:hint="eastAsia" w:ascii="宋体" w:hAnsi="宋体"/>
                <w:b/>
                <w:kern w:val="0"/>
                <w:sz w:val="24"/>
              </w:rPr>
              <w:t>持有期限</w:t>
            </w:r>
            <w:r>
              <w:rPr>
                <w:rFonts w:hint="eastAsia" w:ascii="宋体" w:hAnsi="宋体"/>
                <w:b/>
                <w:sz w:val="24"/>
              </w:rPr>
              <w:t>（Y）</w:t>
            </w:r>
          </w:p>
        </w:tc>
        <w:tc>
          <w:tcPr>
            <w:tcW w:w="2977" w:type="dxa"/>
            <w:vAlign w:val="center"/>
          </w:tcPr>
          <w:p>
            <w:pPr>
              <w:widowControl/>
              <w:spacing w:line="360" w:lineRule="auto"/>
              <w:jc w:val="center"/>
              <w:rPr>
                <w:rFonts w:ascii="宋体" w:hAnsi="宋体"/>
                <w:b/>
                <w:kern w:val="0"/>
                <w:sz w:val="24"/>
              </w:rPr>
            </w:pPr>
            <w:r>
              <w:rPr>
                <w:rFonts w:hint="eastAsia" w:ascii="宋体" w:hAnsi="宋体"/>
                <w:b/>
                <w:kern w:val="0"/>
                <w:sz w:val="24"/>
              </w:rPr>
              <w:t>赎回费率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483" w:type="dxa"/>
            <w:vMerge w:val="continue"/>
            <w:tcMar>
              <w:top w:w="15" w:type="dxa"/>
              <w:left w:w="15" w:type="dxa"/>
              <w:bottom w:w="0" w:type="dxa"/>
              <w:right w:w="15" w:type="dxa"/>
            </w:tcMar>
            <w:vAlign w:val="center"/>
          </w:tcPr>
          <w:p>
            <w:pPr>
              <w:pStyle w:val="81"/>
              <w:spacing w:before="0" w:line="360" w:lineRule="auto"/>
              <w:ind w:firstLine="0" w:firstLineChars="0"/>
              <w:jc w:val="center"/>
              <w:outlineLvl w:val="9"/>
              <w:rPr>
                <w:rFonts w:ascii="宋体" w:hAnsi="宋体" w:eastAsia="宋体"/>
                <w:sz w:val="24"/>
              </w:rPr>
            </w:pPr>
          </w:p>
        </w:tc>
        <w:tc>
          <w:tcPr>
            <w:tcW w:w="3777" w:type="dxa"/>
            <w:tcMar>
              <w:top w:w="15" w:type="dxa"/>
              <w:left w:w="15" w:type="dxa"/>
              <w:bottom w:w="0" w:type="dxa"/>
              <w:right w:w="15" w:type="dxa"/>
            </w:tcMar>
            <w:vAlign w:val="center"/>
          </w:tcPr>
          <w:p>
            <w:pPr>
              <w:widowControl/>
              <w:spacing w:line="360" w:lineRule="auto"/>
              <w:jc w:val="center"/>
              <w:rPr>
                <w:rFonts w:ascii="宋体" w:hAnsi="宋体"/>
                <w:kern w:val="0"/>
                <w:sz w:val="24"/>
              </w:rPr>
            </w:pPr>
            <w:r>
              <w:rPr>
                <w:rFonts w:hint="eastAsia" w:ascii="宋体" w:hAnsi="宋体"/>
                <w:kern w:val="0"/>
                <w:sz w:val="24"/>
              </w:rPr>
              <w:t>Y＜7日</w:t>
            </w:r>
          </w:p>
        </w:tc>
        <w:tc>
          <w:tcPr>
            <w:tcW w:w="2977" w:type="dxa"/>
            <w:vAlign w:val="center"/>
          </w:tcPr>
          <w:p>
            <w:pPr>
              <w:pStyle w:val="21"/>
              <w:adjustRightInd w:val="0"/>
              <w:snapToGrid w:val="0"/>
              <w:ind w:firstLine="0" w:firstLineChars="0"/>
              <w:jc w:val="center"/>
              <w:rPr>
                <w:sz w:val="24"/>
              </w:rPr>
            </w:pPr>
            <w:r>
              <w:rPr>
                <w:rFonts w:hint="eastAsia"/>
                <w:sz w:val="24"/>
              </w:rPr>
              <w:t>1.50%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483" w:type="dxa"/>
            <w:vMerge w:val="continue"/>
            <w:tcMar>
              <w:top w:w="15" w:type="dxa"/>
              <w:left w:w="15" w:type="dxa"/>
              <w:bottom w:w="0" w:type="dxa"/>
              <w:right w:w="15" w:type="dxa"/>
            </w:tcMar>
            <w:vAlign w:val="center"/>
          </w:tcPr>
          <w:p>
            <w:pPr>
              <w:pStyle w:val="81"/>
              <w:spacing w:before="0" w:line="360" w:lineRule="auto"/>
              <w:ind w:firstLine="0" w:firstLineChars="0"/>
              <w:jc w:val="center"/>
              <w:outlineLvl w:val="9"/>
              <w:rPr>
                <w:rFonts w:ascii="宋体" w:hAnsi="宋体" w:eastAsia="宋体"/>
                <w:sz w:val="24"/>
              </w:rPr>
            </w:pPr>
          </w:p>
        </w:tc>
        <w:tc>
          <w:tcPr>
            <w:tcW w:w="3777" w:type="dxa"/>
            <w:tcMar>
              <w:top w:w="15" w:type="dxa"/>
              <w:left w:w="15" w:type="dxa"/>
              <w:bottom w:w="0" w:type="dxa"/>
              <w:right w:w="15" w:type="dxa"/>
            </w:tcMar>
            <w:vAlign w:val="center"/>
          </w:tcPr>
          <w:p>
            <w:pPr>
              <w:widowControl/>
              <w:spacing w:line="360" w:lineRule="auto"/>
              <w:jc w:val="center"/>
              <w:rPr>
                <w:rFonts w:ascii="宋体" w:hAnsi="宋体"/>
                <w:kern w:val="0"/>
                <w:sz w:val="24"/>
              </w:rPr>
            </w:pPr>
            <w:r>
              <w:rPr>
                <w:rFonts w:hint="eastAsia" w:ascii="宋体" w:hAnsi="宋体"/>
                <w:kern w:val="0"/>
                <w:sz w:val="24"/>
              </w:rPr>
              <w:t>7日≤Y＜30日</w:t>
            </w:r>
          </w:p>
        </w:tc>
        <w:tc>
          <w:tcPr>
            <w:tcW w:w="2977" w:type="dxa"/>
            <w:vAlign w:val="center"/>
          </w:tcPr>
          <w:p>
            <w:pPr>
              <w:pStyle w:val="21"/>
              <w:adjustRightInd w:val="0"/>
              <w:snapToGrid w:val="0"/>
              <w:ind w:firstLine="0" w:firstLineChars="0"/>
              <w:jc w:val="center"/>
              <w:rPr>
                <w:sz w:val="24"/>
              </w:rPr>
            </w:pPr>
            <w:r>
              <w:rPr>
                <w:sz w:val="24"/>
              </w:rPr>
              <w:t>0.50</w:t>
            </w:r>
            <w:r>
              <w:rPr>
                <w:rFonts w:hint="eastAsia"/>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483" w:type="dxa"/>
            <w:vMerge w:val="continue"/>
            <w:tcMar>
              <w:top w:w="15" w:type="dxa"/>
              <w:left w:w="15" w:type="dxa"/>
              <w:bottom w:w="0" w:type="dxa"/>
              <w:right w:w="15" w:type="dxa"/>
            </w:tcMar>
            <w:vAlign w:val="center"/>
          </w:tcPr>
          <w:p>
            <w:pPr>
              <w:pStyle w:val="81"/>
              <w:spacing w:before="0" w:line="360" w:lineRule="auto"/>
              <w:ind w:firstLine="0" w:firstLineChars="0"/>
              <w:jc w:val="center"/>
              <w:outlineLvl w:val="9"/>
              <w:rPr>
                <w:rFonts w:ascii="宋体" w:hAnsi="宋体" w:eastAsia="宋体"/>
                <w:sz w:val="24"/>
              </w:rPr>
            </w:pPr>
          </w:p>
        </w:tc>
        <w:tc>
          <w:tcPr>
            <w:tcW w:w="3777" w:type="dxa"/>
            <w:tcMar>
              <w:top w:w="15" w:type="dxa"/>
              <w:left w:w="15" w:type="dxa"/>
              <w:bottom w:w="0" w:type="dxa"/>
              <w:right w:w="15" w:type="dxa"/>
            </w:tcMar>
            <w:vAlign w:val="center"/>
          </w:tcPr>
          <w:p>
            <w:pPr>
              <w:widowControl/>
              <w:spacing w:line="360" w:lineRule="auto"/>
              <w:jc w:val="center"/>
              <w:rPr>
                <w:rFonts w:ascii="宋体" w:hAnsi="宋体"/>
                <w:kern w:val="0"/>
                <w:sz w:val="24"/>
              </w:rPr>
            </w:pPr>
            <w:r>
              <w:rPr>
                <w:rFonts w:hint="eastAsia" w:ascii="宋体" w:hAnsi="宋体"/>
                <w:kern w:val="0"/>
                <w:sz w:val="24"/>
              </w:rPr>
              <w:t>Y≥30日</w:t>
            </w:r>
          </w:p>
        </w:tc>
        <w:tc>
          <w:tcPr>
            <w:tcW w:w="2977" w:type="dxa"/>
            <w:vAlign w:val="center"/>
          </w:tcPr>
          <w:p>
            <w:pPr>
              <w:pStyle w:val="21"/>
              <w:adjustRightInd w:val="0"/>
              <w:snapToGrid w:val="0"/>
              <w:ind w:firstLine="0" w:firstLineChars="0"/>
              <w:jc w:val="center"/>
              <w:rPr>
                <w:sz w:val="24"/>
              </w:rPr>
            </w:pPr>
            <w:r>
              <w:rPr>
                <w:rFonts w:hint="eastAsia"/>
                <w:sz w:val="24"/>
              </w:rPr>
              <w:t>0</w:t>
            </w:r>
          </w:p>
        </w:tc>
      </w:tr>
    </w:tbl>
    <w:p>
      <w:pPr>
        <w:pStyle w:val="21"/>
        <w:adjustRightInd w:val="0"/>
        <w:snapToGrid w:val="0"/>
        <w:ind w:firstLine="480"/>
        <w:rPr>
          <w:sz w:val="24"/>
        </w:rPr>
      </w:pPr>
      <w:r>
        <w:rPr>
          <w:rFonts w:hint="eastAsia"/>
          <w:sz w:val="24"/>
        </w:rPr>
        <w:t>（2）C类</w:t>
      </w:r>
      <w:r>
        <w:rPr>
          <w:sz w:val="24"/>
        </w:rPr>
        <w:t>基金份额的赎回费率</w:t>
      </w:r>
    </w:p>
    <w:p>
      <w:pPr>
        <w:pStyle w:val="21"/>
        <w:adjustRightInd w:val="0"/>
        <w:snapToGrid w:val="0"/>
        <w:ind w:firstLine="480"/>
        <w:rPr>
          <w:rFonts w:cs="宋体"/>
          <w:sz w:val="24"/>
        </w:rPr>
      </w:pPr>
      <w:r>
        <w:rPr>
          <w:rFonts w:hint="eastAsia"/>
          <w:sz w:val="24"/>
        </w:rPr>
        <w:t>本</w:t>
      </w:r>
      <w:r>
        <w:rPr>
          <w:sz w:val="24"/>
        </w:rPr>
        <w:t>基金对</w:t>
      </w:r>
      <w:r>
        <w:rPr>
          <w:rFonts w:hint="eastAsia"/>
          <w:sz w:val="24"/>
        </w:rPr>
        <w:t>持续</w:t>
      </w:r>
      <w:r>
        <w:rPr>
          <w:sz w:val="24"/>
        </w:rPr>
        <w:t>持有</w:t>
      </w:r>
      <w:r>
        <w:rPr>
          <w:rFonts w:hint="eastAsia"/>
          <w:sz w:val="24"/>
        </w:rPr>
        <w:t>C类</w:t>
      </w:r>
      <w:r>
        <w:rPr>
          <w:sz w:val="24"/>
        </w:rPr>
        <w:t>基金份额少于</w:t>
      </w:r>
      <w:r>
        <w:rPr>
          <w:rFonts w:hint="eastAsia"/>
          <w:sz w:val="24"/>
        </w:rPr>
        <w:t>7日</w:t>
      </w:r>
      <w:r>
        <w:rPr>
          <w:sz w:val="24"/>
        </w:rPr>
        <w:t>的投资者收取的赎回费率为</w:t>
      </w:r>
      <w:r>
        <w:rPr>
          <w:rFonts w:hint="eastAsia"/>
          <w:sz w:val="24"/>
        </w:rPr>
        <w:t>1.5</w:t>
      </w:r>
      <w:r>
        <w:rPr>
          <w:sz w:val="24"/>
        </w:rPr>
        <w:t>0%</w:t>
      </w:r>
      <w:r>
        <w:rPr>
          <w:rFonts w:hint="eastAsia"/>
          <w:sz w:val="24"/>
        </w:rPr>
        <w:t>，</w:t>
      </w:r>
      <w:r>
        <w:rPr>
          <w:rFonts w:hint="eastAsia" w:cs="宋体"/>
          <w:sz w:val="24"/>
        </w:rPr>
        <w:t>赎回费用将全额计入基金财产。</w:t>
      </w:r>
    </w:p>
    <w:p>
      <w:pPr>
        <w:pStyle w:val="21"/>
        <w:adjustRightInd w:val="0"/>
        <w:snapToGrid w:val="0"/>
        <w:ind w:firstLine="480"/>
        <w:rPr>
          <w:sz w:val="24"/>
        </w:rPr>
      </w:pPr>
      <w:r>
        <w:rPr>
          <w:rFonts w:hint="eastAsia"/>
          <w:sz w:val="24"/>
        </w:rPr>
        <w:t>本基金C类基金份额的赎回费率按持有期限的长短分档，具体如下：</w:t>
      </w:r>
      <w:r>
        <w:rPr>
          <w:sz w:val="24"/>
        </w:rPr>
        <w:t xml:space="preserve"> </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3685"/>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restart"/>
            <w:vAlign w:val="center"/>
          </w:tcPr>
          <w:p>
            <w:pPr>
              <w:pStyle w:val="21"/>
              <w:adjustRightInd w:val="0"/>
              <w:snapToGrid w:val="0"/>
              <w:ind w:firstLine="0" w:firstLineChars="0"/>
              <w:rPr>
                <w:b/>
                <w:sz w:val="24"/>
              </w:rPr>
            </w:pPr>
            <w:r>
              <w:rPr>
                <w:rFonts w:hint="eastAsia"/>
                <w:b/>
                <w:sz w:val="24"/>
              </w:rPr>
              <w:t>C类</w:t>
            </w:r>
            <w:r>
              <w:rPr>
                <w:b/>
                <w:sz w:val="24"/>
              </w:rPr>
              <w:t>基金份额</w:t>
            </w:r>
          </w:p>
          <w:p>
            <w:pPr>
              <w:pStyle w:val="21"/>
              <w:adjustRightInd w:val="0"/>
              <w:snapToGrid w:val="0"/>
              <w:ind w:firstLine="0" w:firstLineChars="0"/>
              <w:jc w:val="center"/>
              <w:rPr>
                <w:b/>
                <w:sz w:val="24"/>
              </w:rPr>
            </w:pPr>
            <w:r>
              <w:rPr>
                <w:b/>
                <w:sz w:val="24"/>
              </w:rPr>
              <w:t>赎回费率</w:t>
            </w:r>
          </w:p>
        </w:tc>
        <w:tc>
          <w:tcPr>
            <w:tcW w:w="3685" w:type="dxa"/>
            <w:vAlign w:val="center"/>
          </w:tcPr>
          <w:p>
            <w:pPr>
              <w:pStyle w:val="21"/>
              <w:adjustRightInd w:val="0"/>
              <w:snapToGrid w:val="0"/>
              <w:ind w:firstLine="0" w:firstLineChars="0"/>
              <w:jc w:val="center"/>
              <w:rPr>
                <w:b/>
                <w:sz w:val="24"/>
              </w:rPr>
            </w:pPr>
            <w:r>
              <w:rPr>
                <w:rFonts w:hint="eastAsia"/>
                <w:b/>
                <w:sz w:val="24"/>
              </w:rPr>
              <w:t>持有</w:t>
            </w:r>
            <w:r>
              <w:rPr>
                <w:b/>
                <w:sz w:val="24"/>
              </w:rPr>
              <w:t>期限（</w:t>
            </w:r>
            <w:r>
              <w:rPr>
                <w:rFonts w:hint="eastAsia"/>
                <w:b/>
                <w:sz w:val="24"/>
              </w:rPr>
              <w:t>Y</w:t>
            </w:r>
            <w:r>
              <w:rPr>
                <w:b/>
                <w:sz w:val="24"/>
              </w:rPr>
              <w:t>）</w:t>
            </w:r>
          </w:p>
        </w:tc>
        <w:tc>
          <w:tcPr>
            <w:tcW w:w="2977" w:type="dxa"/>
            <w:vAlign w:val="center"/>
          </w:tcPr>
          <w:p>
            <w:pPr>
              <w:pStyle w:val="21"/>
              <w:adjustRightInd w:val="0"/>
              <w:snapToGrid w:val="0"/>
              <w:ind w:firstLine="0" w:firstLineChars="0"/>
              <w:jc w:val="center"/>
              <w:rPr>
                <w:b/>
                <w:sz w:val="24"/>
              </w:rPr>
            </w:pPr>
            <w:r>
              <w:rPr>
                <w:rFonts w:hint="eastAsia"/>
                <w:b/>
                <w:sz w:val="24"/>
              </w:rPr>
              <w:t>赎回</w:t>
            </w:r>
            <w:r>
              <w:rPr>
                <w:b/>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vAlign w:val="center"/>
          </w:tcPr>
          <w:p>
            <w:pPr>
              <w:pStyle w:val="21"/>
              <w:adjustRightInd w:val="0"/>
              <w:snapToGrid w:val="0"/>
              <w:ind w:firstLine="0" w:firstLineChars="0"/>
              <w:jc w:val="center"/>
              <w:rPr>
                <w:sz w:val="24"/>
              </w:rPr>
            </w:pPr>
          </w:p>
        </w:tc>
        <w:tc>
          <w:tcPr>
            <w:tcW w:w="3685" w:type="dxa"/>
            <w:vAlign w:val="center"/>
          </w:tcPr>
          <w:p>
            <w:pPr>
              <w:pStyle w:val="21"/>
              <w:adjustRightInd w:val="0"/>
              <w:snapToGrid w:val="0"/>
              <w:ind w:firstLine="0" w:firstLineChars="0"/>
              <w:jc w:val="center"/>
              <w:rPr>
                <w:sz w:val="24"/>
              </w:rPr>
            </w:pPr>
            <w:r>
              <w:rPr>
                <w:rFonts w:hint="eastAsia"/>
                <w:kern w:val="0"/>
                <w:sz w:val="24"/>
              </w:rPr>
              <w:t>Y</w:t>
            </w:r>
            <w:r>
              <w:rPr>
                <w:rFonts w:hint="eastAsia"/>
                <w:sz w:val="24"/>
              </w:rPr>
              <w:t>＜7日</w:t>
            </w:r>
          </w:p>
        </w:tc>
        <w:tc>
          <w:tcPr>
            <w:tcW w:w="2977" w:type="dxa"/>
            <w:vAlign w:val="center"/>
          </w:tcPr>
          <w:p>
            <w:pPr>
              <w:pStyle w:val="21"/>
              <w:adjustRightInd w:val="0"/>
              <w:snapToGrid w:val="0"/>
              <w:ind w:firstLine="0" w:firstLineChars="0"/>
              <w:jc w:val="center"/>
              <w:rPr>
                <w:sz w:val="24"/>
              </w:rPr>
            </w:pPr>
            <w:r>
              <w:rPr>
                <w:rFonts w:hint="eastAsia"/>
                <w:sz w:val="24"/>
              </w:rPr>
              <w:t>1.5</w:t>
            </w: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vAlign w:val="center"/>
          </w:tcPr>
          <w:p>
            <w:pPr>
              <w:pStyle w:val="21"/>
              <w:adjustRightInd w:val="0"/>
              <w:snapToGrid w:val="0"/>
              <w:ind w:firstLine="0" w:firstLineChars="0"/>
              <w:jc w:val="center"/>
              <w:rPr>
                <w:sz w:val="24"/>
              </w:rPr>
            </w:pPr>
          </w:p>
        </w:tc>
        <w:tc>
          <w:tcPr>
            <w:tcW w:w="3685" w:type="dxa"/>
            <w:vAlign w:val="center"/>
          </w:tcPr>
          <w:p>
            <w:pPr>
              <w:pStyle w:val="21"/>
              <w:adjustRightInd w:val="0"/>
              <w:snapToGrid w:val="0"/>
              <w:ind w:firstLine="0" w:firstLineChars="0"/>
              <w:jc w:val="center"/>
              <w:rPr>
                <w:sz w:val="24"/>
              </w:rPr>
            </w:pPr>
            <w:r>
              <w:rPr>
                <w:rFonts w:hint="eastAsia"/>
                <w:kern w:val="0"/>
                <w:sz w:val="24"/>
              </w:rPr>
              <w:t>Y</w:t>
            </w:r>
            <w:r>
              <w:rPr>
                <w:rFonts w:hint="eastAsia"/>
                <w:sz w:val="24"/>
              </w:rPr>
              <w:t>≥</w:t>
            </w:r>
            <w:r>
              <w:rPr>
                <w:sz w:val="24"/>
              </w:rPr>
              <w:t>7</w:t>
            </w:r>
            <w:r>
              <w:rPr>
                <w:rFonts w:hint="eastAsia"/>
                <w:sz w:val="24"/>
              </w:rPr>
              <w:t>日</w:t>
            </w:r>
          </w:p>
        </w:tc>
        <w:tc>
          <w:tcPr>
            <w:tcW w:w="2977" w:type="dxa"/>
            <w:vAlign w:val="center"/>
          </w:tcPr>
          <w:p>
            <w:pPr>
              <w:pStyle w:val="21"/>
              <w:adjustRightInd w:val="0"/>
              <w:snapToGrid w:val="0"/>
              <w:ind w:firstLine="0" w:firstLineChars="0"/>
              <w:jc w:val="center"/>
              <w:rPr>
                <w:sz w:val="24"/>
              </w:rPr>
            </w:pPr>
            <w:r>
              <w:rPr>
                <w:rFonts w:hint="eastAsia"/>
                <w:sz w:val="24"/>
              </w:rPr>
              <w:t>0</w:t>
            </w:r>
          </w:p>
        </w:tc>
      </w:tr>
    </w:tbl>
    <w:p>
      <w:pPr>
        <w:pStyle w:val="21"/>
        <w:adjustRightInd w:val="0"/>
        <w:snapToGrid w:val="0"/>
        <w:ind w:firstLine="480"/>
        <w:rPr>
          <w:rFonts w:cs="宋体"/>
          <w:sz w:val="24"/>
        </w:rPr>
      </w:pPr>
      <w:r>
        <w:rPr>
          <w:rFonts w:hint="eastAsia" w:cs="宋体"/>
          <w:sz w:val="24"/>
        </w:rPr>
        <w:t>3、</w:t>
      </w:r>
      <w:r>
        <w:rPr>
          <w:rFonts w:hint="eastAsia" w:cs="宋体"/>
          <w:bCs/>
          <w:sz w:val="24"/>
        </w:rPr>
        <w:t>在对基金份额持有人无实质性不利影响的情况下，</w:t>
      </w:r>
      <w:r>
        <w:rPr>
          <w:rFonts w:hint="eastAsia" w:cs="宋体"/>
          <w:sz w:val="24"/>
        </w:rPr>
        <w:t>基金管理人可以在基金合同约定的范围内调整费率或收费方式，并最迟应于新的费率或收费方式实施日前依照《信息披露办法》的有关规定在规定媒介上公告。</w:t>
      </w:r>
    </w:p>
    <w:p>
      <w:pPr>
        <w:pStyle w:val="21"/>
        <w:adjustRightInd w:val="0"/>
        <w:snapToGrid w:val="0"/>
        <w:ind w:firstLine="480"/>
        <w:rPr>
          <w:rFonts w:cs="宋体"/>
          <w:sz w:val="24"/>
        </w:rPr>
      </w:pPr>
      <w:r>
        <w:rPr>
          <w:rFonts w:hint="eastAsia" w:cs="宋体"/>
          <w:sz w:val="24"/>
        </w:rPr>
        <w:t>4、</w:t>
      </w:r>
      <w:r>
        <w:rPr>
          <w:rFonts w:hint="eastAsia" w:cs="宋体"/>
          <w:bCs/>
          <w:sz w:val="24"/>
          <w:szCs w:val="24"/>
        </w:rPr>
        <w:t>基金管理人可以在对基金份额持有人利益无实质性不利影响且不违反法律法规规定及基金合同约定的前提下，根据市场情况制定基金促销计划，针对投资人定期或不定期地开展基金促销活动。在基金促销活动期间，按相关监管部门要求履行必要手续后，基金管理人可以适当调低基金申购费率、基金赎回费率和基金销售服务费率，或针对特定渠道、特定投资群体开展有差别的费率优惠活动，并进行公告。</w:t>
      </w:r>
    </w:p>
    <w:p>
      <w:pPr>
        <w:pStyle w:val="21"/>
        <w:adjustRightInd w:val="0"/>
        <w:snapToGrid w:val="0"/>
        <w:ind w:firstLine="480"/>
        <w:rPr>
          <w:rFonts w:cs="宋体"/>
          <w:sz w:val="24"/>
        </w:rPr>
      </w:pPr>
      <w:r>
        <w:rPr>
          <w:rFonts w:hint="eastAsia" w:cs="宋体"/>
          <w:sz w:val="24"/>
        </w:rPr>
        <w:t>5、当本基金发生大额申购或赎回情形时，基金管理人可以采用摆动定价机制，以确保基金估值的公平性。具体处理原则与操作规范遵循相关法律法规以及监管部门、自律规则的规定。</w:t>
      </w:r>
    </w:p>
    <w:p>
      <w:pPr>
        <w:pStyle w:val="21"/>
        <w:adjustRightInd w:val="0"/>
        <w:snapToGrid w:val="0"/>
        <w:ind w:firstLine="480"/>
        <w:rPr>
          <w:rFonts w:cs="宋体"/>
          <w:sz w:val="24"/>
        </w:rPr>
      </w:pPr>
      <w:r>
        <w:rPr>
          <w:rFonts w:hint="eastAsia" w:cs="宋体"/>
          <w:sz w:val="24"/>
        </w:rPr>
        <w:t>八、申购份额与赎回金额的计算方式</w:t>
      </w:r>
    </w:p>
    <w:p>
      <w:pPr>
        <w:pStyle w:val="21"/>
        <w:adjustRightInd w:val="0"/>
        <w:snapToGrid w:val="0"/>
        <w:ind w:firstLine="480"/>
        <w:rPr>
          <w:rFonts w:cs="宋体"/>
          <w:sz w:val="24"/>
        </w:rPr>
      </w:pPr>
      <w:r>
        <w:rPr>
          <w:rFonts w:hint="eastAsia" w:cs="宋体"/>
          <w:sz w:val="24"/>
        </w:rPr>
        <w:t>1、申购和赎回数额、余额的处理方式</w:t>
      </w:r>
    </w:p>
    <w:p>
      <w:pPr>
        <w:pStyle w:val="21"/>
        <w:adjustRightInd w:val="0"/>
        <w:snapToGrid w:val="0"/>
        <w:ind w:firstLine="480"/>
        <w:rPr>
          <w:rFonts w:cs="宋体"/>
          <w:sz w:val="24"/>
        </w:rPr>
      </w:pPr>
      <w:r>
        <w:rPr>
          <w:rFonts w:hint="eastAsia" w:cs="宋体"/>
          <w:sz w:val="24"/>
        </w:rPr>
        <w:t>（1）申购的有效份额为按实际确认的申购金额在扣除相应的费用后，以当日相应类别的基金份额净值为基准计算，计算结果保留到小数点后2位，小数点后两位以后的部分舍去，舍去部分所代表的资产归基金财产所有。</w:t>
      </w:r>
    </w:p>
    <w:p>
      <w:pPr>
        <w:pStyle w:val="21"/>
        <w:adjustRightInd w:val="0"/>
        <w:snapToGrid w:val="0"/>
        <w:ind w:firstLine="480"/>
        <w:rPr>
          <w:rFonts w:cs="宋体"/>
          <w:sz w:val="24"/>
        </w:rPr>
      </w:pPr>
      <w:r>
        <w:rPr>
          <w:rFonts w:hint="eastAsia" w:cs="宋体"/>
          <w:sz w:val="24"/>
        </w:rPr>
        <w:t>（2）赎回金额为按实际确认的有效赎回份额乘以当日相应类别的基金份额净值并扣除相应的费用后的余额，赎回金额计算结果保留到小数点后2位，小数点后两位以后的部分舍去，舍去部分所代表的资产归基金财产所有。</w:t>
      </w:r>
    </w:p>
    <w:p>
      <w:pPr>
        <w:pStyle w:val="21"/>
        <w:adjustRightInd w:val="0"/>
        <w:snapToGrid w:val="0"/>
        <w:ind w:firstLine="480"/>
        <w:rPr>
          <w:rFonts w:cs="宋体"/>
          <w:sz w:val="24"/>
        </w:rPr>
      </w:pPr>
      <w:r>
        <w:rPr>
          <w:rFonts w:hint="eastAsia" w:cs="宋体"/>
          <w:sz w:val="24"/>
        </w:rPr>
        <w:t>2、申购份额的计算：</w:t>
      </w:r>
    </w:p>
    <w:p>
      <w:pPr>
        <w:pStyle w:val="21"/>
        <w:adjustRightInd w:val="0"/>
        <w:snapToGrid w:val="0"/>
        <w:ind w:firstLine="480"/>
        <w:rPr>
          <w:rFonts w:cs="宋体"/>
          <w:sz w:val="24"/>
        </w:rPr>
      </w:pPr>
      <w:r>
        <w:rPr>
          <w:rFonts w:hint="eastAsia" w:cs="宋体"/>
          <w:sz w:val="24"/>
        </w:rPr>
        <w:t>（1）本基金A类基金份额的申购份额的计算方式如下：</w:t>
      </w:r>
    </w:p>
    <w:p>
      <w:pPr>
        <w:pStyle w:val="21"/>
        <w:adjustRightInd w:val="0"/>
        <w:snapToGrid w:val="0"/>
        <w:ind w:firstLine="480"/>
        <w:rPr>
          <w:rFonts w:cs="宋体"/>
          <w:sz w:val="24"/>
        </w:rPr>
      </w:pPr>
      <w:r>
        <w:rPr>
          <w:rFonts w:hint="eastAsia" w:cs="宋体"/>
          <w:sz w:val="24"/>
        </w:rPr>
        <w:t>A类基金份额的申购金额包括申购费用和净申购金额，其中：</w:t>
      </w:r>
    </w:p>
    <w:p>
      <w:pPr>
        <w:pStyle w:val="21"/>
        <w:adjustRightInd w:val="0"/>
        <w:snapToGrid w:val="0"/>
        <w:ind w:firstLine="480"/>
        <w:rPr>
          <w:rFonts w:cs="宋体"/>
          <w:sz w:val="24"/>
        </w:rPr>
      </w:pPr>
      <w:r>
        <w:rPr>
          <w:rFonts w:hint="eastAsia" w:cs="宋体"/>
          <w:sz w:val="24"/>
        </w:rPr>
        <w:t>净申购金额=申购金额/（1＋申购费率）</w:t>
      </w:r>
    </w:p>
    <w:p>
      <w:pPr>
        <w:pStyle w:val="21"/>
        <w:adjustRightInd w:val="0"/>
        <w:snapToGrid w:val="0"/>
        <w:ind w:firstLine="480"/>
        <w:rPr>
          <w:rFonts w:cs="宋体"/>
          <w:sz w:val="24"/>
        </w:rPr>
      </w:pPr>
      <w:r>
        <w:rPr>
          <w:rFonts w:hint="eastAsia" w:cs="宋体"/>
          <w:sz w:val="24"/>
        </w:rPr>
        <w:t>（注：对于适用固定金额申购费的申购，净申购金额=申购金额-固定申购费金额）</w:t>
      </w:r>
    </w:p>
    <w:p>
      <w:pPr>
        <w:pStyle w:val="21"/>
        <w:adjustRightInd w:val="0"/>
        <w:snapToGrid w:val="0"/>
        <w:ind w:firstLine="480"/>
        <w:rPr>
          <w:rFonts w:cs="宋体"/>
          <w:sz w:val="24"/>
        </w:rPr>
      </w:pPr>
      <w:r>
        <w:rPr>
          <w:rFonts w:hint="eastAsia" w:cs="宋体"/>
          <w:sz w:val="24"/>
        </w:rPr>
        <w:t>申购费用=申购金额-净申购金额</w:t>
      </w:r>
    </w:p>
    <w:p>
      <w:pPr>
        <w:pStyle w:val="21"/>
        <w:adjustRightInd w:val="0"/>
        <w:snapToGrid w:val="0"/>
        <w:ind w:firstLine="480"/>
        <w:rPr>
          <w:rFonts w:cs="宋体"/>
          <w:sz w:val="24"/>
        </w:rPr>
      </w:pPr>
      <w:r>
        <w:rPr>
          <w:rFonts w:hint="eastAsia" w:cs="宋体"/>
          <w:sz w:val="24"/>
        </w:rPr>
        <w:t>（注：对于适用固定金额申购费的申购，申购费用=固定申购费金额）</w:t>
      </w:r>
    </w:p>
    <w:p>
      <w:pPr>
        <w:pStyle w:val="21"/>
        <w:adjustRightInd w:val="0"/>
        <w:snapToGrid w:val="0"/>
        <w:ind w:firstLine="480"/>
        <w:rPr>
          <w:rFonts w:cs="宋体"/>
          <w:sz w:val="24"/>
        </w:rPr>
      </w:pPr>
      <w:r>
        <w:rPr>
          <w:rFonts w:cs="宋体"/>
          <w:sz w:val="24"/>
        </w:rPr>
        <w:t>A类</w:t>
      </w:r>
      <w:r>
        <w:rPr>
          <w:rFonts w:hint="eastAsia" w:cs="宋体"/>
          <w:sz w:val="24"/>
        </w:rPr>
        <w:t>申购份额=净申购金额/</w:t>
      </w:r>
      <w:r>
        <w:rPr>
          <w:rFonts w:cs="宋体"/>
          <w:sz w:val="24"/>
        </w:rPr>
        <w:t>T日</w:t>
      </w:r>
      <w:r>
        <w:rPr>
          <w:rFonts w:hint="eastAsia" w:cs="宋体"/>
          <w:sz w:val="24"/>
        </w:rPr>
        <w:t>A类基金份额净值</w:t>
      </w:r>
    </w:p>
    <w:p>
      <w:pPr>
        <w:pStyle w:val="21"/>
        <w:adjustRightInd w:val="0"/>
        <w:snapToGrid w:val="0"/>
        <w:ind w:firstLine="480"/>
        <w:rPr>
          <w:rFonts w:cs="宋体"/>
          <w:sz w:val="24"/>
        </w:rPr>
      </w:pPr>
      <w:r>
        <w:rPr>
          <w:rFonts w:hint="eastAsia" w:cs="宋体"/>
          <w:sz w:val="24"/>
        </w:rPr>
        <w:t>例3：某投资人投资6,000.00元申购本基金A类基金份额，其对应的申购费率为1.</w:t>
      </w:r>
      <w:r>
        <w:rPr>
          <w:rFonts w:cs="宋体"/>
          <w:sz w:val="24"/>
        </w:rPr>
        <w:t>0</w:t>
      </w:r>
      <w:r>
        <w:rPr>
          <w:rFonts w:hint="eastAsia" w:cs="宋体"/>
          <w:sz w:val="24"/>
        </w:rPr>
        <w:t>0%，假设申购当日本基金A类基金份额的基金份额净值为1.0600元，则其可得到的申购份额为：</w:t>
      </w:r>
    </w:p>
    <w:p>
      <w:pPr>
        <w:pStyle w:val="21"/>
        <w:adjustRightInd w:val="0"/>
        <w:snapToGrid w:val="0"/>
        <w:ind w:firstLine="480"/>
        <w:rPr>
          <w:rFonts w:cs="宋体"/>
          <w:sz w:val="24"/>
        </w:rPr>
      </w:pPr>
      <w:r>
        <w:rPr>
          <w:rFonts w:hint="eastAsia" w:cs="宋体"/>
          <w:sz w:val="24"/>
        </w:rPr>
        <w:t>净申购金额＝6,000.00/（1＋1.</w:t>
      </w:r>
      <w:r>
        <w:rPr>
          <w:rFonts w:cs="宋体"/>
          <w:sz w:val="24"/>
        </w:rPr>
        <w:t>0</w:t>
      </w:r>
      <w:r>
        <w:rPr>
          <w:rFonts w:hint="eastAsia" w:cs="宋体"/>
          <w:sz w:val="24"/>
        </w:rPr>
        <w:t>0%）＝</w:t>
      </w:r>
      <w:r>
        <w:rPr>
          <w:rFonts w:cs="宋体"/>
          <w:sz w:val="24"/>
        </w:rPr>
        <w:t>5</w:t>
      </w:r>
      <w:r>
        <w:rPr>
          <w:rFonts w:hint="eastAsia" w:cs="宋体"/>
          <w:sz w:val="24"/>
        </w:rPr>
        <w:t>,9</w:t>
      </w:r>
      <w:r>
        <w:rPr>
          <w:rFonts w:cs="宋体"/>
          <w:sz w:val="24"/>
        </w:rPr>
        <w:t>40.59</w:t>
      </w:r>
      <w:r>
        <w:rPr>
          <w:rFonts w:hint="eastAsia" w:cs="宋体"/>
          <w:sz w:val="24"/>
        </w:rPr>
        <w:t>元</w:t>
      </w:r>
    </w:p>
    <w:p>
      <w:pPr>
        <w:pStyle w:val="21"/>
        <w:adjustRightInd w:val="0"/>
        <w:snapToGrid w:val="0"/>
        <w:ind w:firstLine="480"/>
        <w:rPr>
          <w:rFonts w:cs="宋体"/>
          <w:sz w:val="24"/>
        </w:rPr>
      </w:pPr>
      <w:r>
        <w:rPr>
          <w:rFonts w:hint="eastAsia" w:cs="宋体"/>
          <w:sz w:val="24"/>
        </w:rPr>
        <w:t>申购费用＝6,000.00－</w:t>
      </w:r>
      <w:r>
        <w:rPr>
          <w:rFonts w:cs="宋体"/>
          <w:sz w:val="24"/>
        </w:rPr>
        <w:t>5</w:t>
      </w:r>
      <w:r>
        <w:rPr>
          <w:rFonts w:hint="eastAsia" w:cs="宋体"/>
          <w:sz w:val="24"/>
        </w:rPr>
        <w:t>,9</w:t>
      </w:r>
      <w:r>
        <w:rPr>
          <w:rFonts w:cs="宋体"/>
          <w:sz w:val="24"/>
        </w:rPr>
        <w:t>40.59</w:t>
      </w:r>
      <w:r>
        <w:rPr>
          <w:rFonts w:hint="eastAsia" w:cs="宋体"/>
          <w:sz w:val="24"/>
        </w:rPr>
        <w:t>＝</w:t>
      </w:r>
      <w:r>
        <w:rPr>
          <w:rFonts w:cs="宋体"/>
          <w:sz w:val="24"/>
        </w:rPr>
        <w:t>59.41</w:t>
      </w:r>
      <w:r>
        <w:rPr>
          <w:rFonts w:hint="eastAsia" w:cs="宋体"/>
          <w:sz w:val="24"/>
        </w:rPr>
        <w:t>元</w:t>
      </w:r>
    </w:p>
    <w:p>
      <w:pPr>
        <w:pStyle w:val="21"/>
        <w:adjustRightInd w:val="0"/>
        <w:snapToGrid w:val="0"/>
        <w:ind w:firstLine="480"/>
        <w:rPr>
          <w:rFonts w:cs="宋体"/>
          <w:sz w:val="24"/>
        </w:rPr>
      </w:pPr>
      <w:r>
        <w:rPr>
          <w:rFonts w:hint="eastAsia" w:cs="宋体"/>
          <w:sz w:val="24"/>
        </w:rPr>
        <w:t>申购份额＝</w:t>
      </w:r>
      <w:r>
        <w:rPr>
          <w:rFonts w:cs="宋体"/>
          <w:sz w:val="24"/>
        </w:rPr>
        <w:t>5,940.59</w:t>
      </w:r>
      <w:r>
        <w:rPr>
          <w:rFonts w:hint="eastAsia" w:cs="宋体"/>
          <w:sz w:val="24"/>
        </w:rPr>
        <w:t>/1.0600＝</w:t>
      </w:r>
      <w:r>
        <w:rPr>
          <w:rFonts w:cs="宋体"/>
          <w:sz w:val="24"/>
        </w:rPr>
        <w:t>5</w:t>
      </w:r>
      <w:r>
        <w:rPr>
          <w:rFonts w:hint="eastAsia" w:cs="宋体"/>
          <w:sz w:val="24"/>
        </w:rPr>
        <w:t>,6</w:t>
      </w:r>
      <w:r>
        <w:rPr>
          <w:rFonts w:cs="宋体"/>
          <w:sz w:val="24"/>
        </w:rPr>
        <w:t>04.33</w:t>
      </w:r>
      <w:r>
        <w:rPr>
          <w:rFonts w:hint="eastAsia" w:cs="宋体"/>
          <w:sz w:val="24"/>
        </w:rPr>
        <w:t>份</w:t>
      </w:r>
    </w:p>
    <w:p>
      <w:pPr>
        <w:pStyle w:val="21"/>
        <w:adjustRightInd w:val="0"/>
        <w:snapToGrid w:val="0"/>
        <w:ind w:firstLine="480"/>
        <w:rPr>
          <w:rFonts w:cs="宋体"/>
          <w:sz w:val="24"/>
        </w:rPr>
      </w:pPr>
      <w:r>
        <w:rPr>
          <w:rFonts w:hint="eastAsia" w:cs="宋体"/>
          <w:sz w:val="24"/>
        </w:rPr>
        <w:t>即：投资人投资6,000.00元申购本基金A类基金份额，假设申购当日本基金A类基金份额净值为1.0600元，则其可得到</w:t>
      </w:r>
      <w:r>
        <w:rPr>
          <w:rFonts w:cs="宋体"/>
          <w:sz w:val="24"/>
        </w:rPr>
        <w:t>5,604.33</w:t>
      </w:r>
      <w:r>
        <w:rPr>
          <w:rFonts w:hint="eastAsia" w:cs="宋体"/>
          <w:sz w:val="24"/>
        </w:rPr>
        <w:t>份本基金A类基金份额。</w:t>
      </w:r>
    </w:p>
    <w:p>
      <w:pPr>
        <w:pStyle w:val="21"/>
        <w:adjustRightInd w:val="0"/>
        <w:snapToGrid w:val="0"/>
        <w:ind w:firstLine="480"/>
        <w:rPr>
          <w:rFonts w:cs="宋体"/>
          <w:sz w:val="24"/>
        </w:rPr>
      </w:pPr>
      <w:r>
        <w:rPr>
          <w:rFonts w:hint="eastAsia" w:cs="宋体"/>
          <w:sz w:val="24"/>
        </w:rPr>
        <w:t>（2）本基金C类基金份额的申购份额的计算方式如下：</w:t>
      </w:r>
    </w:p>
    <w:p>
      <w:pPr>
        <w:pStyle w:val="21"/>
        <w:adjustRightInd w:val="0"/>
        <w:snapToGrid w:val="0"/>
        <w:ind w:firstLine="480"/>
        <w:rPr>
          <w:rFonts w:cs="宋体"/>
          <w:sz w:val="24"/>
        </w:rPr>
      </w:pPr>
      <w:r>
        <w:rPr>
          <w:rFonts w:hint="eastAsia" w:cs="宋体"/>
          <w:sz w:val="24"/>
        </w:rPr>
        <w:t>本基金C类基金份额在投资人申购时不收取申购费用。</w:t>
      </w:r>
    </w:p>
    <w:p>
      <w:pPr>
        <w:pStyle w:val="21"/>
        <w:adjustRightInd w:val="0"/>
        <w:snapToGrid w:val="0"/>
        <w:ind w:firstLine="480"/>
        <w:rPr>
          <w:rFonts w:cs="宋体"/>
          <w:sz w:val="24"/>
        </w:rPr>
      </w:pPr>
      <w:r>
        <w:rPr>
          <w:rFonts w:hint="eastAsia" w:cs="宋体"/>
          <w:sz w:val="24"/>
        </w:rPr>
        <w:t>C类申购份额=申购金额/T日C类基金份额净值</w:t>
      </w:r>
    </w:p>
    <w:p>
      <w:pPr>
        <w:pStyle w:val="21"/>
        <w:adjustRightInd w:val="0"/>
        <w:snapToGrid w:val="0"/>
        <w:ind w:firstLine="480"/>
        <w:rPr>
          <w:rFonts w:cs="宋体"/>
          <w:sz w:val="24"/>
        </w:rPr>
      </w:pPr>
      <w:r>
        <w:rPr>
          <w:rFonts w:hint="eastAsia" w:cs="宋体"/>
          <w:sz w:val="24"/>
        </w:rPr>
        <w:t>例4：某投资人投资100,000.00元申购本基金C类基金份额，假设申购当日本基金C类基金份额净值为1.0600元，则其可得到的申购份额为：</w:t>
      </w:r>
    </w:p>
    <w:p>
      <w:pPr>
        <w:pStyle w:val="21"/>
        <w:adjustRightInd w:val="0"/>
        <w:snapToGrid w:val="0"/>
        <w:ind w:firstLine="480"/>
        <w:rPr>
          <w:rFonts w:cs="宋体"/>
          <w:sz w:val="24"/>
        </w:rPr>
      </w:pPr>
      <w:r>
        <w:rPr>
          <w:rFonts w:hint="eastAsia" w:cs="宋体"/>
          <w:sz w:val="24"/>
        </w:rPr>
        <w:t>申购份额=100,000.00/1.0600=94,339.62份</w:t>
      </w:r>
    </w:p>
    <w:p>
      <w:pPr>
        <w:pStyle w:val="21"/>
        <w:adjustRightInd w:val="0"/>
        <w:snapToGrid w:val="0"/>
        <w:ind w:firstLine="480"/>
        <w:rPr>
          <w:rFonts w:cs="宋体"/>
          <w:sz w:val="24"/>
        </w:rPr>
      </w:pPr>
      <w:r>
        <w:rPr>
          <w:rFonts w:hint="eastAsia" w:cs="宋体"/>
          <w:sz w:val="24"/>
        </w:rPr>
        <w:t>即：投资人投资100,000.00元申购本基金C类基金份额，假设申购当日本基金C类基金份额净值为1.0600元，则其可得到94,339.62份本基金C类基金份额。</w:t>
      </w:r>
    </w:p>
    <w:p>
      <w:pPr>
        <w:pStyle w:val="21"/>
        <w:adjustRightInd w:val="0"/>
        <w:snapToGrid w:val="0"/>
        <w:ind w:firstLine="480"/>
        <w:rPr>
          <w:rFonts w:cs="宋体"/>
          <w:sz w:val="24"/>
        </w:rPr>
      </w:pPr>
      <w:r>
        <w:rPr>
          <w:rFonts w:hint="eastAsia" w:cs="宋体"/>
          <w:sz w:val="24"/>
        </w:rPr>
        <w:t>3、赎回金额的计算：</w:t>
      </w:r>
    </w:p>
    <w:p>
      <w:pPr>
        <w:pStyle w:val="21"/>
        <w:adjustRightInd w:val="0"/>
        <w:snapToGrid w:val="0"/>
        <w:ind w:firstLine="480"/>
        <w:rPr>
          <w:rFonts w:cs="宋体"/>
          <w:sz w:val="24"/>
        </w:rPr>
      </w:pPr>
      <w:r>
        <w:rPr>
          <w:rFonts w:hint="eastAsia" w:cs="宋体"/>
          <w:sz w:val="24"/>
        </w:rPr>
        <w:t>赎回金额的计算方法如下：</w:t>
      </w:r>
    </w:p>
    <w:p>
      <w:pPr>
        <w:pStyle w:val="21"/>
        <w:adjustRightInd w:val="0"/>
        <w:snapToGrid w:val="0"/>
        <w:ind w:firstLine="480"/>
        <w:rPr>
          <w:rFonts w:cs="宋体"/>
          <w:sz w:val="24"/>
        </w:rPr>
      </w:pPr>
      <w:r>
        <w:rPr>
          <w:rFonts w:hint="eastAsia" w:cs="宋体"/>
          <w:sz w:val="24"/>
        </w:rPr>
        <w:t>赎回总金额=赎回份额×T日相应类别的基金份额净值</w:t>
      </w:r>
    </w:p>
    <w:p>
      <w:pPr>
        <w:pStyle w:val="21"/>
        <w:adjustRightInd w:val="0"/>
        <w:snapToGrid w:val="0"/>
        <w:ind w:firstLine="480"/>
        <w:rPr>
          <w:rFonts w:cs="宋体"/>
          <w:sz w:val="24"/>
        </w:rPr>
      </w:pPr>
      <w:r>
        <w:rPr>
          <w:rFonts w:hint="eastAsia" w:cs="宋体"/>
          <w:sz w:val="24"/>
        </w:rPr>
        <w:t>赎回费用=赎回总金额×赎回费率</w:t>
      </w:r>
    </w:p>
    <w:p>
      <w:pPr>
        <w:pStyle w:val="21"/>
        <w:adjustRightInd w:val="0"/>
        <w:snapToGrid w:val="0"/>
        <w:ind w:firstLine="480"/>
        <w:rPr>
          <w:rFonts w:cs="宋体"/>
          <w:sz w:val="24"/>
        </w:rPr>
      </w:pPr>
      <w:r>
        <w:rPr>
          <w:rFonts w:hint="eastAsia" w:cs="宋体"/>
          <w:sz w:val="24"/>
        </w:rPr>
        <w:t>净赎回金额=赎回总金额-赎回费用</w:t>
      </w:r>
    </w:p>
    <w:p>
      <w:pPr>
        <w:pStyle w:val="21"/>
        <w:adjustRightInd w:val="0"/>
        <w:snapToGrid w:val="0"/>
        <w:ind w:firstLine="480"/>
        <w:rPr>
          <w:rFonts w:cs="宋体"/>
          <w:sz w:val="24"/>
        </w:rPr>
      </w:pPr>
      <w:r>
        <w:rPr>
          <w:rFonts w:hint="eastAsia" w:cs="宋体"/>
          <w:sz w:val="24"/>
        </w:rPr>
        <w:t>例5：某投资人赎回本基金A类基金份额10,000份，持有时间为</w:t>
      </w:r>
      <w:r>
        <w:rPr>
          <w:rFonts w:cs="宋体"/>
          <w:sz w:val="24"/>
        </w:rPr>
        <w:t>5天</w:t>
      </w:r>
      <w:r>
        <w:rPr>
          <w:rFonts w:hint="eastAsia" w:cs="宋体"/>
          <w:sz w:val="24"/>
        </w:rPr>
        <w:t>，对应的赎回费率为</w:t>
      </w:r>
      <w:r>
        <w:rPr>
          <w:rFonts w:cs="宋体"/>
          <w:sz w:val="24"/>
        </w:rPr>
        <w:t>1.50</w:t>
      </w:r>
      <w:r>
        <w:rPr>
          <w:rFonts w:hint="eastAsia" w:cs="宋体"/>
          <w:sz w:val="24"/>
        </w:rPr>
        <w:t>%，假设赎回当日A类基金份额净值是1.1480元，则其可得到的净赎回金额为：</w:t>
      </w:r>
    </w:p>
    <w:p>
      <w:pPr>
        <w:pStyle w:val="21"/>
        <w:adjustRightInd w:val="0"/>
        <w:snapToGrid w:val="0"/>
        <w:ind w:firstLine="480"/>
        <w:rPr>
          <w:rFonts w:cs="宋体"/>
          <w:sz w:val="24"/>
        </w:rPr>
      </w:pPr>
      <w:r>
        <w:rPr>
          <w:rFonts w:hint="eastAsia" w:cs="宋体"/>
          <w:sz w:val="24"/>
        </w:rPr>
        <w:t>赎回总金额＝10,000×1.1480＝11,480.00元</w:t>
      </w:r>
    </w:p>
    <w:p>
      <w:pPr>
        <w:pStyle w:val="21"/>
        <w:adjustRightInd w:val="0"/>
        <w:snapToGrid w:val="0"/>
        <w:ind w:firstLine="480"/>
        <w:rPr>
          <w:rFonts w:cs="宋体"/>
          <w:sz w:val="24"/>
        </w:rPr>
      </w:pPr>
      <w:r>
        <w:rPr>
          <w:rFonts w:hint="eastAsia" w:cs="宋体"/>
          <w:sz w:val="24"/>
        </w:rPr>
        <w:t>赎回费用＝11,480.00×</w:t>
      </w:r>
      <w:r>
        <w:rPr>
          <w:rFonts w:cs="宋体"/>
          <w:sz w:val="24"/>
        </w:rPr>
        <w:t>1.50</w:t>
      </w:r>
      <w:r>
        <w:rPr>
          <w:rFonts w:hint="eastAsia" w:cs="宋体"/>
          <w:sz w:val="24"/>
        </w:rPr>
        <w:t>%＝</w:t>
      </w:r>
      <w:r>
        <w:rPr>
          <w:rFonts w:cs="宋体"/>
          <w:sz w:val="24"/>
        </w:rPr>
        <w:t>172.20</w:t>
      </w:r>
      <w:r>
        <w:rPr>
          <w:rFonts w:hint="eastAsia" w:cs="宋体"/>
          <w:sz w:val="24"/>
        </w:rPr>
        <w:t>元</w:t>
      </w:r>
    </w:p>
    <w:p>
      <w:pPr>
        <w:pStyle w:val="21"/>
        <w:adjustRightInd w:val="0"/>
        <w:snapToGrid w:val="0"/>
        <w:ind w:firstLine="480"/>
        <w:rPr>
          <w:rFonts w:cs="宋体"/>
          <w:sz w:val="24"/>
        </w:rPr>
      </w:pPr>
      <w:r>
        <w:rPr>
          <w:rFonts w:hint="eastAsia" w:cs="宋体"/>
          <w:sz w:val="24"/>
        </w:rPr>
        <w:t>净赎回金额＝11,480.00－</w:t>
      </w:r>
      <w:r>
        <w:rPr>
          <w:rFonts w:cs="宋体"/>
          <w:sz w:val="24"/>
        </w:rPr>
        <w:t>172.20</w:t>
      </w:r>
      <w:r>
        <w:rPr>
          <w:rFonts w:hint="eastAsia" w:cs="宋体"/>
          <w:sz w:val="24"/>
        </w:rPr>
        <w:t>＝</w:t>
      </w:r>
      <w:r>
        <w:rPr>
          <w:rFonts w:cs="宋体"/>
          <w:sz w:val="24"/>
        </w:rPr>
        <w:t>11</w:t>
      </w:r>
      <w:r>
        <w:rPr>
          <w:rFonts w:hint="eastAsia" w:cs="宋体"/>
          <w:sz w:val="24"/>
        </w:rPr>
        <w:t>,3</w:t>
      </w:r>
      <w:r>
        <w:rPr>
          <w:rFonts w:cs="宋体"/>
          <w:sz w:val="24"/>
        </w:rPr>
        <w:t>07.80</w:t>
      </w:r>
      <w:r>
        <w:rPr>
          <w:rFonts w:hint="eastAsia" w:cs="宋体"/>
          <w:sz w:val="24"/>
        </w:rPr>
        <w:t>元</w:t>
      </w:r>
    </w:p>
    <w:p>
      <w:pPr>
        <w:pStyle w:val="21"/>
        <w:adjustRightInd w:val="0"/>
        <w:snapToGrid w:val="0"/>
        <w:ind w:firstLine="480"/>
        <w:rPr>
          <w:rFonts w:cs="宋体"/>
          <w:sz w:val="24"/>
        </w:rPr>
      </w:pPr>
      <w:r>
        <w:rPr>
          <w:rFonts w:hint="eastAsia" w:cs="宋体"/>
          <w:sz w:val="24"/>
        </w:rPr>
        <w:t>即：某投资人持有10,000份本基金A类基金份额</w:t>
      </w:r>
      <w:r>
        <w:rPr>
          <w:rFonts w:cs="宋体"/>
          <w:sz w:val="24"/>
        </w:rPr>
        <w:t>5天</w:t>
      </w:r>
      <w:r>
        <w:rPr>
          <w:rFonts w:hint="eastAsia" w:cs="宋体"/>
          <w:sz w:val="24"/>
        </w:rPr>
        <w:t>后赎回，假设赎回当日本基金A类基金份额净值是1.1480元，则其可得到的净赎回金额为</w:t>
      </w:r>
      <w:r>
        <w:rPr>
          <w:rFonts w:cs="宋体"/>
          <w:sz w:val="24"/>
        </w:rPr>
        <w:t>11,307.80</w:t>
      </w:r>
      <w:r>
        <w:rPr>
          <w:rFonts w:hint="eastAsia" w:cs="宋体"/>
          <w:sz w:val="24"/>
        </w:rPr>
        <w:t>元。</w:t>
      </w:r>
    </w:p>
    <w:p>
      <w:pPr>
        <w:pStyle w:val="21"/>
        <w:adjustRightInd w:val="0"/>
        <w:snapToGrid w:val="0"/>
        <w:ind w:firstLine="480"/>
        <w:rPr>
          <w:rFonts w:cs="宋体"/>
          <w:sz w:val="24"/>
        </w:rPr>
      </w:pPr>
      <w:r>
        <w:rPr>
          <w:rFonts w:cs="宋体"/>
          <w:sz w:val="24"/>
        </w:rPr>
        <w:t>例</w:t>
      </w:r>
      <w:r>
        <w:rPr>
          <w:rFonts w:hint="eastAsia" w:cs="宋体"/>
          <w:sz w:val="24"/>
        </w:rPr>
        <w:t>6：某投资人赎回本基金</w:t>
      </w:r>
      <w:r>
        <w:rPr>
          <w:rFonts w:cs="宋体"/>
          <w:sz w:val="24"/>
        </w:rPr>
        <w:t>C</w:t>
      </w:r>
      <w:r>
        <w:rPr>
          <w:rFonts w:hint="eastAsia" w:cs="宋体"/>
          <w:sz w:val="24"/>
        </w:rPr>
        <w:t>类基金份额10,000份，持有时间为29个月，对应的赎回费率为0%，假设赎回当日</w:t>
      </w:r>
      <w:r>
        <w:rPr>
          <w:rFonts w:cs="宋体"/>
          <w:sz w:val="24"/>
        </w:rPr>
        <w:t>C</w:t>
      </w:r>
      <w:r>
        <w:rPr>
          <w:rFonts w:hint="eastAsia" w:cs="宋体"/>
          <w:sz w:val="24"/>
        </w:rPr>
        <w:t>类基金份额净值是1.1480元，则其可得到的净赎回金额为：</w:t>
      </w:r>
    </w:p>
    <w:p>
      <w:pPr>
        <w:pStyle w:val="21"/>
        <w:adjustRightInd w:val="0"/>
        <w:snapToGrid w:val="0"/>
        <w:ind w:firstLine="480"/>
        <w:rPr>
          <w:rFonts w:cs="宋体"/>
          <w:sz w:val="24"/>
        </w:rPr>
      </w:pPr>
      <w:r>
        <w:rPr>
          <w:rFonts w:hint="eastAsia" w:cs="宋体"/>
          <w:sz w:val="24"/>
        </w:rPr>
        <w:t>赎回总金额＝10,000×1.1480＝11,480.00元</w:t>
      </w:r>
    </w:p>
    <w:p>
      <w:pPr>
        <w:pStyle w:val="21"/>
        <w:adjustRightInd w:val="0"/>
        <w:snapToGrid w:val="0"/>
        <w:ind w:firstLine="480"/>
        <w:rPr>
          <w:rFonts w:cs="宋体"/>
          <w:sz w:val="24"/>
        </w:rPr>
      </w:pPr>
      <w:r>
        <w:rPr>
          <w:rFonts w:hint="eastAsia" w:cs="宋体"/>
          <w:sz w:val="24"/>
        </w:rPr>
        <w:t>赎回费用＝11,480.00×0%＝0.00元</w:t>
      </w:r>
    </w:p>
    <w:p>
      <w:pPr>
        <w:pStyle w:val="21"/>
        <w:adjustRightInd w:val="0"/>
        <w:snapToGrid w:val="0"/>
        <w:ind w:firstLine="480"/>
        <w:rPr>
          <w:rFonts w:cs="宋体"/>
          <w:sz w:val="24"/>
        </w:rPr>
      </w:pPr>
      <w:r>
        <w:rPr>
          <w:rFonts w:hint="eastAsia" w:cs="宋体"/>
          <w:sz w:val="24"/>
        </w:rPr>
        <w:t>净赎回金额＝11,480.00－0.00＝11,480.00元</w:t>
      </w:r>
    </w:p>
    <w:p>
      <w:pPr>
        <w:pStyle w:val="21"/>
        <w:adjustRightInd w:val="0"/>
        <w:snapToGrid w:val="0"/>
        <w:ind w:firstLine="480"/>
        <w:rPr>
          <w:rFonts w:cs="宋体"/>
          <w:sz w:val="24"/>
        </w:rPr>
      </w:pPr>
      <w:r>
        <w:rPr>
          <w:rFonts w:hint="eastAsia" w:cs="宋体"/>
          <w:sz w:val="24"/>
        </w:rPr>
        <w:t>即：某投资人持有10,000份本基金</w:t>
      </w:r>
      <w:r>
        <w:rPr>
          <w:rFonts w:cs="宋体"/>
          <w:sz w:val="24"/>
        </w:rPr>
        <w:t>C</w:t>
      </w:r>
      <w:r>
        <w:rPr>
          <w:rFonts w:hint="eastAsia" w:cs="宋体"/>
          <w:sz w:val="24"/>
        </w:rPr>
        <w:t>类基金份额29个月后赎回，假设赎回当日本基金</w:t>
      </w:r>
      <w:r>
        <w:rPr>
          <w:rFonts w:cs="宋体"/>
          <w:sz w:val="24"/>
        </w:rPr>
        <w:t>C</w:t>
      </w:r>
      <w:r>
        <w:rPr>
          <w:rFonts w:hint="eastAsia" w:cs="宋体"/>
          <w:sz w:val="24"/>
        </w:rPr>
        <w:t>类基金份额净值是1.1480元，则其可得到的净赎回金额为11,480.00元。</w:t>
      </w:r>
    </w:p>
    <w:p>
      <w:pPr>
        <w:pStyle w:val="21"/>
        <w:adjustRightInd w:val="0"/>
        <w:snapToGrid w:val="0"/>
        <w:ind w:firstLine="480"/>
        <w:rPr>
          <w:rFonts w:cs="宋体"/>
          <w:sz w:val="24"/>
        </w:rPr>
      </w:pPr>
      <w:r>
        <w:rPr>
          <w:rFonts w:hint="eastAsia" w:cs="宋体"/>
          <w:sz w:val="24"/>
        </w:rPr>
        <w:t>4、基金份额净值的计算</w:t>
      </w:r>
    </w:p>
    <w:p>
      <w:pPr>
        <w:pStyle w:val="21"/>
        <w:adjustRightInd w:val="0"/>
        <w:snapToGrid w:val="0"/>
        <w:ind w:firstLine="480"/>
        <w:rPr>
          <w:rFonts w:cs="宋体"/>
          <w:sz w:val="24"/>
        </w:rPr>
      </w:pPr>
      <w:r>
        <w:rPr>
          <w:rFonts w:hint="eastAsia" w:cs="宋体"/>
          <w:sz w:val="24"/>
        </w:rPr>
        <w:t>本基金各类基金份额的基金份额净值计算公式如下：</w:t>
      </w:r>
    </w:p>
    <w:p>
      <w:pPr>
        <w:pStyle w:val="21"/>
        <w:adjustRightInd w:val="0"/>
        <w:snapToGrid w:val="0"/>
        <w:ind w:firstLine="480"/>
        <w:rPr>
          <w:rFonts w:cs="宋体"/>
          <w:sz w:val="24"/>
        </w:rPr>
      </w:pPr>
      <w:r>
        <w:rPr>
          <w:rFonts w:hint="eastAsia" w:cs="宋体"/>
          <w:sz w:val="24"/>
        </w:rPr>
        <w:t>T日某类基金份额净值＝T日闭市后的该类别基金资产净值/T日该类别基金份额的余额数量</w:t>
      </w:r>
    </w:p>
    <w:p>
      <w:pPr>
        <w:pStyle w:val="21"/>
        <w:adjustRightInd w:val="0"/>
        <w:snapToGrid w:val="0"/>
        <w:ind w:firstLine="480"/>
        <w:rPr>
          <w:rFonts w:cs="宋体"/>
          <w:sz w:val="24"/>
        </w:rPr>
      </w:pPr>
      <w:r>
        <w:rPr>
          <w:rFonts w:hint="eastAsia" w:cs="宋体"/>
          <w:sz w:val="24"/>
        </w:rPr>
        <w:t>本基金各类基金份额净值的计算，均保留到小数点后4位，小数点后第5位四舍五入，由此产生的收益或损失由基金财产承担。</w:t>
      </w:r>
      <w:r>
        <w:rPr>
          <w:rFonts w:hint="eastAsia" w:cs="宋体"/>
          <w:bCs/>
          <w:sz w:val="24"/>
        </w:rPr>
        <w:t>基金申购、赎回开放日（T日）的各类基金份额净值在当天收市后计算，并在T+1日内公告。</w:t>
      </w:r>
      <w:r>
        <w:rPr>
          <w:rFonts w:hint="eastAsia" w:cs="宋体"/>
          <w:sz w:val="24"/>
        </w:rPr>
        <w:t>遇特殊情况，经</w:t>
      </w:r>
      <w:r>
        <w:rPr>
          <w:rFonts w:hint="eastAsia" w:cs="宋体"/>
          <w:bCs/>
          <w:sz w:val="24"/>
          <w:szCs w:val="24"/>
        </w:rPr>
        <w:t>履行适当程序</w:t>
      </w:r>
      <w:r>
        <w:rPr>
          <w:rFonts w:hint="eastAsia" w:cs="宋体"/>
          <w:sz w:val="24"/>
        </w:rPr>
        <w:t>，可以适当延迟计算或公告。</w:t>
      </w:r>
    </w:p>
    <w:p>
      <w:pPr>
        <w:pStyle w:val="21"/>
        <w:adjustRightInd w:val="0"/>
        <w:snapToGrid w:val="0"/>
        <w:ind w:firstLine="480"/>
        <w:rPr>
          <w:rFonts w:cs="宋体"/>
          <w:sz w:val="24"/>
        </w:rPr>
      </w:pPr>
      <w:r>
        <w:rPr>
          <w:rFonts w:hint="eastAsia" w:cs="宋体"/>
          <w:sz w:val="24"/>
        </w:rPr>
        <w:t>九、基金份额的登记</w:t>
      </w:r>
    </w:p>
    <w:p>
      <w:pPr>
        <w:pStyle w:val="21"/>
        <w:adjustRightInd w:val="0"/>
        <w:snapToGrid w:val="0"/>
        <w:ind w:firstLine="480"/>
        <w:rPr>
          <w:rFonts w:cs="宋体"/>
          <w:sz w:val="24"/>
        </w:rPr>
      </w:pPr>
      <w:r>
        <w:rPr>
          <w:rFonts w:hint="eastAsia" w:cs="宋体"/>
          <w:sz w:val="24"/>
        </w:rPr>
        <w:t>投资人申购基金成功后，登记机构在T+1日为投资人登记权益并办理登记手续，投资人自T+2日（含该日）后有权赎回该部分基金份额。</w:t>
      </w:r>
    </w:p>
    <w:p>
      <w:pPr>
        <w:pStyle w:val="21"/>
        <w:adjustRightInd w:val="0"/>
        <w:snapToGrid w:val="0"/>
        <w:ind w:firstLine="480"/>
        <w:rPr>
          <w:rFonts w:cs="宋体"/>
          <w:sz w:val="24"/>
        </w:rPr>
      </w:pPr>
      <w:r>
        <w:rPr>
          <w:rFonts w:hint="eastAsia" w:cs="宋体"/>
          <w:sz w:val="24"/>
        </w:rPr>
        <w:t>投资人赎回基金成功后，登记机构在T+1日为投资人办理扣除权益的登记手续。</w:t>
      </w:r>
    </w:p>
    <w:p>
      <w:pPr>
        <w:pStyle w:val="21"/>
        <w:adjustRightInd w:val="0"/>
        <w:snapToGrid w:val="0"/>
        <w:ind w:firstLine="480"/>
        <w:rPr>
          <w:rFonts w:cs="宋体"/>
          <w:sz w:val="24"/>
        </w:rPr>
      </w:pPr>
      <w:r>
        <w:rPr>
          <w:rFonts w:hint="eastAsia" w:cs="宋体"/>
          <w:sz w:val="24"/>
        </w:rPr>
        <w:t>基金管理人可以在不违反法律法规的范围内，对上述登记办理时间进行调整，但不得实质影响投资人的合法权益，并依照《信息披露办法》的有关规定在规定媒介公告。</w:t>
      </w:r>
    </w:p>
    <w:p>
      <w:pPr>
        <w:pStyle w:val="21"/>
        <w:adjustRightInd w:val="0"/>
        <w:snapToGrid w:val="0"/>
        <w:ind w:firstLine="480"/>
        <w:rPr>
          <w:rFonts w:cs="宋体"/>
          <w:sz w:val="24"/>
        </w:rPr>
      </w:pPr>
      <w:bookmarkStart w:id="35" w:name="_Hlk130212524"/>
      <w:r>
        <w:rPr>
          <w:rFonts w:hint="eastAsia" w:cs="宋体"/>
          <w:sz w:val="24"/>
        </w:rPr>
        <w:t>十、拒绝或暂停申购的情形及处理方式</w:t>
      </w:r>
    </w:p>
    <w:p>
      <w:pPr>
        <w:pStyle w:val="21"/>
        <w:adjustRightInd w:val="0"/>
        <w:snapToGrid w:val="0"/>
        <w:ind w:firstLine="480"/>
        <w:rPr>
          <w:rFonts w:cs="宋体"/>
          <w:bCs/>
          <w:sz w:val="24"/>
        </w:rPr>
      </w:pPr>
      <w:r>
        <w:rPr>
          <w:rFonts w:hint="eastAsia" w:cs="宋体"/>
          <w:bCs/>
          <w:sz w:val="24"/>
        </w:rPr>
        <w:t>发生下列情况时，基金管理人可拒绝或暂停接受投资人的申购申请：</w:t>
      </w:r>
    </w:p>
    <w:p>
      <w:pPr>
        <w:pStyle w:val="21"/>
        <w:adjustRightInd w:val="0"/>
        <w:snapToGrid w:val="0"/>
        <w:ind w:firstLine="480"/>
        <w:rPr>
          <w:rFonts w:cs="宋体"/>
          <w:bCs/>
          <w:sz w:val="24"/>
        </w:rPr>
      </w:pPr>
      <w:r>
        <w:rPr>
          <w:rFonts w:hint="eastAsia" w:cs="宋体"/>
          <w:bCs/>
          <w:sz w:val="24"/>
        </w:rPr>
        <w:t>1、因不可抗力导致基金无法正常运作。</w:t>
      </w:r>
    </w:p>
    <w:p>
      <w:pPr>
        <w:pStyle w:val="21"/>
        <w:adjustRightInd w:val="0"/>
        <w:snapToGrid w:val="0"/>
        <w:ind w:firstLine="480"/>
        <w:rPr>
          <w:rFonts w:cs="宋体"/>
          <w:bCs/>
          <w:sz w:val="24"/>
        </w:rPr>
      </w:pPr>
      <w:r>
        <w:rPr>
          <w:rFonts w:hint="eastAsia" w:cs="宋体"/>
          <w:bCs/>
          <w:sz w:val="24"/>
        </w:rPr>
        <w:t>2、发生基金合同规定的暂停基金资产估值情况时，基金管理人可暂停接受投资人的申购申请。</w:t>
      </w:r>
    </w:p>
    <w:p>
      <w:pPr>
        <w:pStyle w:val="21"/>
        <w:adjustRightInd w:val="0"/>
        <w:snapToGrid w:val="0"/>
        <w:ind w:firstLine="480"/>
        <w:rPr>
          <w:rFonts w:cs="宋体"/>
          <w:bCs/>
          <w:sz w:val="24"/>
        </w:rPr>
      </w:pPr>
      <w:r>
        <w:rPr>
          <w:rFonts w:hint="eastAsia" w:cs="宋体"/>
          <w:bCs/>
          <w:sz w:val="24"/>
        </w:rPr>
        <w:t>3、证券/期货交易所依法决定临时停市或交易时间非正常停市，导致基金管理人无法计算当日基金资产净值或者无法办理基金的申购业务或者无法进行证券交易时。</w:t>
      </w:r>
    </w:p>
    <w:p>
      <w:pPr>
        <w:pStyle w:val="21"/>
        <w:adjustRightInd w:val="0"/>
        <w:snapToGrid w:val="0"/>
        <w:ind w:firstLine="480"/>
        <w:rPr>
          <w:rFonts w:cs="宋体"/>
          <w:bCs/>
          <w:sz w:val="24"/>
        </w:rPr>
      </w:pPr>
      <w:r>
        <w:rPr>
          <w:rFonts w:hint="eastAsia" w:cs="宋体"/>
          <w:bCs/>
          <w:sz w:val="24"/>
        </w:rPr>
        <w:t>4、基金管理人接受某笔或某些申购申请可能会影响或损害现有基金份额持有人利益时。</w:t>
      </w:r>
    </w:p>
    <w:p>
      <w:pPr>
        <w:pStyle w:val="21"/>
        <w:adjustRightInd w:val="0"/>
        <w:snapToGrid w:val="0"/>
        <w:ind w:firstLine="480"/>
        <w:rPr>
          <w:rFonts w:cs="宋体"/>
          <w:bCs/>
          <w:sz w:val="24"/>
        </w:rPr>
      </w:pPr>
      <w:r>
        <w:rPr>
          <w:rFonts w:hint="eastAsia" w:cs="宋体"/>
          <w:bCs/>
          <w:sz w:val="24"/>
        </w:rPr>
        <w:t>5、基金资产规模过大，使基金管理人无法找到合适的投资品种，或证券市场价格发生大幅波动，或其他可能对基金业绩产生负面影响，或发生其他损害现有基金份额持有人利益的情形。</w:t>
      </w:r>
    </w:p>
    <w:p>
      <w:pPr>
        <w:pStyle w:val="21"/>
        <w:adjustRightInd w:val="0"/>
        <w:snapToGrid w:val="0"/>
        <w:ind w:firstLine="480"/>
        <w:rPr>
          <w:rFonts w:cs="宋体"/>
          <w:bCs/>
          <w:sz w:val="24"/>
        </w:rPr>
      </w:pPr>
      <w:r>
        <w:rPr>
          <w:rFonts w:hint="eastAsia" w:cs="宋体"/>
          <w:bCs/>
          <w:sz w:val="24"/>
        </w:rPr>
        <w:t>6、当前一估值日基金资产净值50%以上的资产出现无可参考的活跃市场价格且采用估值技术仍导致公允价值存在重大不确定性时，经与基金托管人协商确认后，基金管理人应当暂停接受基金申购申请。</w:t>
      </w:r>
    </w:p>
    <w:p>
      <w:pPr>
        <w:pStyle w:val="21"/>
        <w:adjustRightInd w:val="0"/>
        <w:snapToGrid w:val="0"/>
        <w:ind w:firstLine="480"/>
        <w:rPr>
          <w:rFonts w:cs="宋体"/>
          <w:bCs/>
          <w:sz w:val="24"/>
        </w:rPr>
      </w:pPr>
      <w:r>
        <w:rPr>
          <w:rFonts w:hint="eastAsia" w:cs="宋体"/>
          <w:bCs/>
          <w:sz w:val="24"/>
        </w:rPr>
        <w:t>7、基金管理人、基金托管人、基金销售机构、登记机构、支付结算机构等因技术故障或其他异常情况导致基金销售系统、基金销售支付结算系统、基金登记系统或基金会计系统等无法正常运行。</w:t>
      </w:r>
    </w:p>
    <w:p>
      <w:pPr>
        <w:pStyle w:val="21"/>
        <w:adjustRightInd w:val="0"/>
        <w:snapToGrid w:val="0"/>
        <w:ind w:firstLine="480"/>
        <w:rPr>
          <w:rFonts w:cs="宋体"/>
          <w:bCs/>
          <w:sz w:val="24"/>
        </w:rPr>
      </w:pPr>
      <w:r>
        <w:rPr>
          <w:rFonts w:hint="eastAsia" w:cs="宋体"/>
          <w:bCs/>
          <w:sz w:val="24"/>
        </w:rPr>
        <w:t>8、申请超过基金管理人设定的基金单日净申购比例上限、单一投资人单日或单笔申购金额上限的。</w:t>
      </w:r>
    </w:p>
    <w:p>
      <w:pPr>
        <w:pStyle w:val="21"/>
        <w:adjustRightInd w:val="0"/>
        <w:snapToGrid w:val="0"/>
        <w:ind w:firstLine="480"/>
        <w:rPr>
          <w:rFonts w:cs="宋体"/>
          <w:bCs/>
          <w:sz w:val="24"/>
        </w:rPr>
      </w:pPr>
      <w:r>
        <w:rPr>
          <w:rFonts w:hint="eastAsia" w:cs="宋体"/>
          <w:bCs/>
          <w:sz w:val="24"/>
        </w:rPr>
        <w:t>9、所投资的目标ETF暂停估值、暂停公告基金份额净值，导致基金管理人无法计算当日基金资产净值。</w:t>
      </w:r>
    </w:p>
    <w:p>
      <w:pPr>
        <w:pStyle w:val="21"/>
        <w:adjustRightInd w:val="0"/>
        <w:snapToGrid w:val="0"/>
        <w:ind w:firstLine="480"/>
        <w:rPr>
          <w:rFonts w:cs="宋体"/>
          <w:bCs/>
          <w:sz w:val="24"/>
        </w:rPr>
      </w:pPr>
      <w:r>
        <w:rPr>
          <w:rFonts w:hint="eastAsia" w:cs="宋体"/>
          <w:bCs/>
          <w:sz w:val="24"/>
        </w:rPr>
        <w:t>10、所投资的目标ETF暂停申购、暂停上市或二级市场交易停牌。</w:t>
      </w:r>
    </w:p>
    <w:p>
      <w:pPr>
        <w:pStyle w:val="21"/>
        <w:adjustRightInd w:val="0"/>
        <w:snapToGrid w:val="0"/>
        <w:ind w:firstLine="480"/>
        <w:rPr>
          <w:rFonts w:cs="宋体"/>
          <w:bCs/>
          <w:sz w:val="24"/>
        </w:rPr>
      </w:pPr>
      <w:r>
        <w:rPr>
          <w:rFonts w:hint="eastAsia" w:cs="宋体"/>
          <w:bCs/>
          <w:sz w:val="24"/>
        </w:rPr>
        <w:t>11、法律法规规定、中国证监会认定或基金合同约定的其他情形。</w:t>
      </w:r>
    </w:p>
    <w:p>
      <w:pPr>
        <w:pStyle w:val="21"/>
        <w:adjustRightInd w:val="0"/>
        <w:snapToGrid w:val="0"/>
        <w:ind w:firstLine="480"/>
        <w:rPr>
          <w:rFonts w:cs="宋体"/>
          <w:bCs/>
          <w:sz w:val="24"/>
        </w:rPr>
      </w:pPr>
      <w:r>
        <w:rPr>
          <w:rFonts w:hint="eastAsia" w:cs="宋体"/>
          <w:bCs/>
          <w:sz w:val="24"/>
        </w:rPr>
        <w:t>发生上述第1、2、3、5、6、7、9、10、11项暂停申购情形之一且基金管理人决定暂停接受投资人申购申请时，基金管理人应当根据有关规定在规定媒介上刊登暂停申购公告。如果投资人的申购申请被全部或部分拒绝的，被拒绝的申购款项本金将退还给投资人，基金管理人及基金托管人不承担该退回款项产生的利息等损失。在暂停申购的情况消除时，基金管理人应及时恢复申购业务的办理。</w:t>
      </w:r>
      <w:bookmarkStart w:id="36" w:name="_Hlt70481650"/>
      <w:bookmarkEnd w:id="36"/>
    </w:p>
    <w:p>
      <w:pPr>
        <w:pStyle w:val="21"/>
        <w:adjustRightInd w:val="0"/>
        <w:snapToGrid w:val="0"/>
        <w:ind w:firstLine="480"/>
        <w:rPr>
          <w:rFonts w:cs="宋体"/>
          <w:sz w:val="24"/>
        </w:rPr>
      </w:pPr>
      <w:r>
        <w:rPr>
          <w:rFonts w:hint="eastAsia" w:cs="宋体"/>
          <w:sz w:val="24"/>
        </w:rPr>
        <w:t>十一、暂停赎回或延缓支付赎回款项的情形及处理方式</w:t>
      </w:r>
    </w:p>
    <w:p>
      <w:pPr>
        <w:pStyle w:val="21"/>
        <w:adjustRightInd w:val="0"/>
        <w:snapToGrid w:val="0"/>
        <w:ind w:firstLine="480"/>
        <w:rPr>
          <w:rFonts w:cs="宋体"/>
          <w:bCs/>
          <w:sz w:val="24"/>
        </w:rPr>
      </w:pPr>
      <w:r>
        <w:rPr>
          <w:rFonts w:hint="eastAsia" w:cs="宋体"/>
          <w:bCs/>
          <w:sz w:val="24"/>
        </w:rPr>
        <w:t>发生下列情形时，基金管理人可暂停接受投资人的赎回申请或延缓支付赎回款项：</w:t>
      </w:r>
    </w:p>
    <w:p>
      <w:pPr>
        <w:pStyle w:val="21"/>
        <w:adjustRightInd w:val="0"/>
        <w:snapToGrid w:val="0"/>
        <w:ind w:firstLine="480"/>
        <w:rPr>
          <w:rFonts w:cs="宋体"/>
          <w:bCs/>
          <w:sz w:val="24"/>
        </w:rPr>
      </w:pPr>
      <w:r>
        <w:rPr>
          <w:rFonts w:hint="eastAsia" w:cs="宋体"/>
          <w:bCs/>
          <w:sz w:val="24"/>
        </w:rPr>
        <w:t>1、因不可抗力导致基金管理人不能支付赎回款项。</w:t>
      </w:r>
    </w:p>
    <w:p>
      <w:pPr>
        <w:pStyle w:val="21"/>
        <w:adjustRightInd w:val="0"/>
        <w:snapToGrid w:val="0"/>
        <w:ind w:firstLine="480"/>
        <w:rPr>
          <w:rFonts w:cs="宋体"/>
          <w:bCs/>
          <w:sz w:val="24"/>
        </w:rPr>
      </w:pPr>
      <w:r>
        <w:rPr>
          <w:rFonts w:hint="eastAsia" w:cs="宋体"/>
          <w:bCs/>
          <w:sz w:val="24"/>
        </w:rPr>
        <w:t>2、发生基金合同规定的暂停基金资产估值情况时，基金管理人可暂停接受投资人的赎回申请或延缓支付赎回款项。</w:t>
      </w:r>
    </w:p>
    <w:p>
      <w:pPr>
        <w:pStyle w:val="21"/>
        <w:adjustRightInd w:val="0"/>
        <w:snapToGrid w:val="0"/>
        <w:ind w:firstLine="480"/>
        <w:rPr>
          <w:rFonts w:cs="宋体"/>
          <w:bCs/>
          <w:sz w:val="24"/>
        </w:rPr>
      </w:pPr>
      <w:r>
        <w:rPr>
          <w:rFonts w:hint="eastAsia" w:cs="宋体"/>
          <w:bCs/>
          <w:sz w:val="24"/>
        </w:rPr>
        <w:t>3、证券/期货交易所依法决定临时停市或交易时间非正常停市，导致基金管理人无法计算当日基金资产净值或者无法办理基金的赎回业务或者无法进行证券交易时。</w:t>
      </w:r>
    </w:p>
    <w:p>
      <w:pPr>
        <w:pStyle w:val="21"/>
        <w:adjustRightInd w:val="0"/>
        <w:snapToGrid w:val="0"/>
        <w:ind w:firstLine="480"/>
        <w:rPr>
          <w:rFonts w:cs="宋体"/>
          <w:bCs/>
          <w:sz w:val="24"/>
        </w:rPr>
      </w:pPr>
      <w:r>
        <w:rPr>
          <w:rFonts w:hint="eastAsia" w:cs="宋体"/>
          <w:bCs/>
          <w:sz w:val="24"/>
        </w:rPr>
        <w:t>4、连续两个或两个以上开放日发生巨额赎回。</w:t>
      </w:r>
    </w:p>
    <w:p>
      <w:pPr>
        <w:pStyle w:val="21"/>
        <w:adjustRightInd w:val="0"/>
        <w:snapToGrid w:val="0"/>
        <w:ind w:firstLine="480"/>
        <w:rPr>
          <w:rFonts w:cs="宋体"/>
          <w:bCs/>
          <w:sz w:val="24"/>
        </w:rPr>
      </w:pPr>
      <w:r>
        <w:rPr>
          <w:rFonts w:hint="eastAsia" w:cs="宋体"/>
          <w:bCs/>
          <w:sz w:val="24"/>
        </w:rPr>
        <w:t>5、发生继续接受赎回申请将损害现有基金份额持有人利益的情形时。</w:t>
      </w:r>
    </w:p>
    <w:p>
      <w:pPr>
        <w:pStyle w:val="21"/>
        <w:adjustRightInd w:val="0"/>
        <w:snapToGrid w:val="0"/>
        <w:ind w:firstLine="480"/>
        <w:rPr>
          <w:rFonts w:cs="宋体"/>
          <w:bCs/>
          <w:sz w:val="24"/>
        </w:rPr>
      </w:pPr>
      <w:r>
        <w:rPr>
          <w:rFonts w:hint="eastAsia" w:cs="宋体"/>
          <w:bCs/>
          <w:sz w:val="24"/>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pPr>
        <w:pStyle w:val="21"/>
        <w:adjustRightInd w:val="0"/>
        <w:snapToGrid w:val="0"/>
        <w:ind w:firstLine="480"/>
        <w:rPr>
          <w:rFonts w:cs="宋体"/>
          <w:bCs/>
          <w:sz w:val="24"/>
        </w:rPr>
      </w:pPr>
      <w:r>
        <w:rPr>
          <w:rFonts w:hint="eastAsia" w:cs="宋体"/>
          <w:bCs/>
          <w:sz w:val="24"/>
        </w:rPr>
        <w:t>7、所投资的目标ETF暂停估值、暂停公告基金份额净值，导致基金管理人无法计算当日基金资产净值。</w:t>
      </w:r>
    </w:p>
    <w:p>
      <w:pPr>
        <w:pStyle w:val="21"/>
        <w:adjustRightInd w:val="0"/>
        <w:snapToGrid w:val="0"/>
        <w:ind w:firstLine="480"/>
        <w:rPr>
          <w:rFonts w:cs="宋体"/>
          <w:bCs/>
          <w:sz w:val="24"/>
        </w:rPr>
      </w:pPr>
      <w:r>
        <w:rPr>
          <w:rFonts w:hint="eastAsia" w:cs="宋体"/>
          <w:bCs/>
          <w:sz w:val="24"/>
        </w:rPr>
        <w:t>8、所投资的目标ETF暂停赎回、暂停上市或二级市场交易停牌，或延缓支付赎回对价时。</w:t>
      </w:r>
    </w:p>
    <w:p>
      <w:pPr>
        <w:pStyle w:val="21"/>
        <w:adjustRightInd w:val="0"/>
        <w:snapToGrid w:val="0"/>
        <w:ind w:firstLine="480"/>
        <w:rPr>
          <w:rFonts w:cs="宋体"/>
          <w:bCs/>
          <w:sz w:val="24"/>
        </w:rPr>
      </w:pPr>
      <w:r>
        <w:rPr>
          <w:rFonts w:hint="eastAsia" w:cs="宋体"/>
          <w:bCs/>
          <w:sz w:val="24"/>
        </w:rPr>
        <w:t>9、法律法规规定、中国证监会认定或基金合同约定的其他情形。</w:t>
      </w:r>
    </w:p>
    <w:p>
      <w:pPr>
        <w:pStyle w:val="21"/>
        <w:adjustRightInd w:val="0"/>
        <w:snapToGrid w:val="0"/>
        <w:ind w:firstLine="480"/>
        <w:rPr>
          <w:rFonts w:cs="宋体"/>
          <w:bCs/>
          <w:sz w:val="24"/>
        </w:rPr>
      </w:pPr>
      <w:r>
        <w:rPr>
          <w:rFonts w:hint="eastAsia" w:cs="宋体"/>
          <w:bCs/>
          <w:sz w:val="24"/>
        </w:rPr>
        <w:t>发生上述情形之一且基金管理人决定暂停赎回或延缓支付赎回款项时，基金管理人应根据有关规定报中国证监会备案，已确认的赎回申请，基金管理人应足额支付；如暂时不能足额支付，应将可支付部分按单个账户申请量占申请总量的比例分配给赎回申请人，未支付部分可延缓支付。若出现上述第4项所述情形，按基金合同的相关条款处理。基金份额持有人在申请赎回时可事先选择将当日可能未获受理部分予以撤销。如暂停本基金基金份额的赎回，基金管理人应及时在规定媒介上刊登暂停赎回公告。在暂停赎回的情况消除时，基金管理人应及时恢复赎回业务的办理并公告。</w:t>
      </w:r>
    </w:p>
    <w:p>
      <w:pPr>
        <w:pStyle w:val="21"/>
        <w:adjustRightInd w:val="0"/>
        <w:snapToGrid w:val="0"/>
        <w:ind w:firstLine="480"/>
        <w:rPr>
          <w:rFonts w:cs="宋体"/>
          <w:sz w:val="24"/>
        </w:rPr>
      </w:pPr>
      <w:r>
        <w:rPr>
          <w:rFonts w:hint="eastAsia" w:cs="宋体"/>
          <w:sz w:val="24"/>
        </w:rPr>
        <w:t>十二、巨额赎回的情形及处理方式</w:t>
      </w:r>
    </w:p>
    <w:p>
      <w:pPr>
        <w:pStyle w:val="21"/>
        <w:adjustRightInd w:val="0"/>
        <w:snapToGrid w:val="0"/>
        <w:ind w:firstLine="480"/>
        <w:rPr>
          <w:rFonts w:cs="宋体"/>
          <w:bCs/>
          <w:sz w:val="24"/>
        </w:rPr>
      </w:pPr>
      <w:r>
        <w:rPr>
          <w:rFonts w:hint="eastAsia" w:cs="宋体"/>
          <w:bCs/>
          <w:sz w:val="24"/>
        </w:rPr>
        <w:t>1、巨额赎回的认定</w:t>
      </w:r>
    </w:p>
    <w:p>
      <w:pPr>
        <w:pStyle w:val="21"/>
        <w:adjustRightInd w:val="0"/>
        <w:snapToGrid w:val="0"/>
        <w:ind w:firstLine="480"/>
        <w:rPr>
          <w:rFonts w:cs="宋体"/>
          <w:bCs/>
          <w:sz w:val="24"/>
        </w:rPr>
      </w:pPr>
      <w:r>
        <w:rPr>
          <w:rFonts w:hint="eastAsia" w:cs="宋体"/>
          <w:bCs/>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pPr>
        <w:pStyle w:val="21"/>
        <w:adjustRightInd w:val="0"/>
        <w:snapToGrid w:val="0"/>
        <w:ind w:firstLine="480"/>
        <w:rPr>
          <w:rFonts w:cs="宋体"/>
          <w:bCs/>
          <w:sz w:val="24"/>
        </w:rPr>
      </w:pPr>
      <w:r>
        <w:rPr>
          <w:rFonts w:hint="eastAsia" w:cs="宋体"/>
          <w:bCs/>
          <w:sz w:val="24"/>
        </w:rPr>
        <w:t>2、巨额赎回的处理方式</w:t>
      </w:r>
    </w:p>
    <w:p>
      <w:pPr>
        <w:pStyle w:val="21"/>
        <w:adjustRightInd w:val="0"/>
        <w:snapToGrid w:val="0"/>
        <w:ind w:firstLine="480"/>
        <w:rPr>
          <w:rFonts w:cs="宋体"/>
          <w:bCs/>
          <w:sz w:val="24"/>
        </w:rPr>
      </w:pPr>
      <w:r>
        <w:rPr>
          <w:rFonts w:hint="eastAsia" w:cs="宋体"/>
          <w:bCs/>
          <w:sz w:val="24"/>
        </w:rPr>
        <w:t>当基金出现巨额赎回时，基金管理人可以根据基金当时的资产组合状况决定全额赎回或部分延期赎回。</w:t>
      </w:r>
    </w:p>
    <w:p>
      <w:pPr>
        <w:pStyle w:val="21"/>
        <w:adjustRightInd w:val="0"/>
        <w:snapToGrid w:val="0"/>
        <w:ind w:firstLine="480"/>
        <w:rPr>
          <w:rFonts w:cs="宋体"/>
          <w:bCs/>
          <w:sz w:val="24"/>
        </w:rPr>
      </w:pPr>
      <w:r>
        <w:rPr>
          <w:rFonts w:hint="eastAsia" w:cs="宋体"/>
          <w:bCs/>
          <w:sz w:val="24"/>
        </w:rPr>
        <w:t>（1）全额赎回：当基金管理人认为有能力支付投资人的全部赎回申请时，按正常赎回程序执行。</w:t>
      </w:r>
    </w:p>
    <w:p>
      <w:pPr>
        <w:pStyle w:val="21"/>
        <w:adjustRightInd w:val="0"/>
        <w:snapToGrid w:val="0"/>
        <w:ind w:firstLine="480"/>
        <w:rPr>
          <w:rFonts w:cs="宋体"/>
          <w:bCs/>
          <w:sz w:val="24"/>
        </w:rPr>
      </w:pPr>
      <w:r>
        <w:rPr>
          <w:rFonts w:hint="eastAsia" w:cs="宋体"/>
          <w:bCs/>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相应类别的基金份额净值为基础计算赎回金额，以此类推，直到全部赎回为止。如投资人在提交赎回申请时未作明确选择，投资人未能赎回部分作自动延期赎回处理。部分延期赎回不受单笔赎回最低份额的限制。当出现巨额赎回时，基金转换中转出份额的申请的处理方式遵照相关的业务规则及相关公告。</w:t>
      </w:r>
    </w:p>
    <w:p>
      <w:pPr>
        <w:pStyle w:val="21"/>
        <w:adjustRightInd w:val="0"/>
        <w:snapToGrid w:val="0"/>
        <w:ind w:firstLine="480"/>
        <w:rPr>
          <w:rFonts w:cs="宋体"/>
          <w:bCs/>
          <w:sz w:val="24"/>
        </w:rPr>
      </w:pPr>
      <w:r>
        <w:rPr>
          <w:rFonts w:hint="eastAsia" w:cs="宋体"/>
          <w:bCs/>
          <w:sz w:val="24"/>
        </w:rPr>
        <w:t>（3）在本基金出现巨额赎回且单个基金份额持有人的赎回申请超过上一开放日基金总份额的20%（不含20%）时，基金管理人认为支付该基金份额持有人的全部赎回申请有困难或认为因支付该基金份额持有人的全部赎回申请而进行的财产变现可能会对基金资产净值造成较大波动时，对于该基金份额持有人当日提出的赎回申请中超过上一开放日基金总份额20%（不含20%）的部分，基金管理人可以延期办理。对于未能赎回部分，单个基金份额持有人在提交赎回申请时可以选择延期赎回或取消赎回。选择延期赎回的，将自动转入下一个开放日继续赎回，延期的赎回申请与下一开放日赎回申请一并处理，无优先权并以下一开放日相应类别的基金份额净值为基础计算赎回金额，以此类推，直到全部赎回为止；选择取消赎回的，当日未获受理的部分赎回申请将被撤销。如该单个基金份额持有人在提交赎回申请时未作明确选择，该单个基金份额持有人未能赎回部分作自动延期赎回处理。部分延期赎回不受单笔赎回最低份额的限制。当出现巨额赎回时，基金转换中转出份额的申请的处理方式遵照相关的业务规则及相关公告。</w:t>
      </w:r>
    </w:p>
    <w:p>
      <w:pPr>
        <w:pStyle w:val="21"/>
        <w:adjustRightInd w:val="0"/>
        <w:snapToGrid w:val="0"/>
        <w:ind w:firstLine="480"/>
        <w:rPr>
          <w:rFonts w:cs="宋体"/>
          <w:bCs/>
          <w:sz w:val="24"/>
        </w:rPr>
      </w:pPr>
      <w:r>
        <w:rPr>
          <w:rFonts w:hint="eastAsia" w:cs="宋体"/>
          <w:bCs/>
          <w:sz w:val="24"/>
        </w:rPr>
        <w:t>对于该基金份额持有人当日提出的赎回申请中未超过上一开放日基金总份额20%（含20%）的部分，基金管理人可以采取全额赎回或部分延期赎回的方式，与其他基金份额持有人的赎回申请一并办理，并且对于该基金份额持有人和其他基金份额持有人的赎回申请采取相同的处理方式。对于前述未能赎回部分，基金份额持有人在提交赎回申请时可以选择延期赎回或取消赎回。选择延期赎回的，将自动转入下一个开放日继续赎回，延期的赎回申请与下一开放日赎回申请一并处理，无优先权并以下一开放日相应类别的基金份额净值为基础计算赎回金额，以此类推，直到全部赎回为止；选择取消赎回的，当日未获受理的部分赎回申请将被撤销。如该单个基金份额持有人在提交赎回申请时未作明确选择，该单个基金份额持有人未能赎回部分作自动延期赎回处理。部分延期赎回不受单笔赎回最低份额的限制。当出现巨额赎回时，基金转换中转出份额的申请的处理方式遵照相关的业务规则及相关公告。</w:t>
      </w:r>
    </w:p>
    <w:p>
      <w:pPr>
        <w:pStyle w:val="21"/>
        <w:adjustRightInd w:val="0"/>
        <w:snapToGrid w:val="0"/>
        <w:ind w:firstLine="480"/>
        <w:rPr>
          <w:rFonts w:cs="宋体"/>
          <w:bCs/>
          <w:sz w:val="24"/>
        </w:rPr>
      </w:pPr>
      <w:r>
        <w:rPr>
          <w:rFonts w:hint="eastAsia" w:cs="宋体"/>
          <w:bCs/>
          <w:sz w:val="24"/>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pPr>
        <w:pStyle w:val="21"/>
        <w:adjustRightInd w:val="0"/>
        <w:snapToGrid w:val="0"/>
        <w:ind w:firstLine="480"/>
        <w:rPr>
          <w:rFonts w:cs="宋体"/>
          <w:bCs/>
          <w:sz w:val="24"/>
        </w:rPr>
      </w:pPr>
      <w:r>
        <w:rPr>
          <w:rFonts w:hint="eastAsia" w:cs="宋体"/>
          <w:bCs/>
          <w:sz w:val="24"/>
        </w:rPr>
        <w:t>3、巨额赎回的公告</w:t>
      </w:r>
    </w:p>
    <w:p>
      <w:pPr>
        <w:pStyle w:val="21"/>
        <w:adjustRightInd w:val="0"/>
        <w:snapToGrid w:val="0"/>
        <w:ind w:firstLine="480"/>
        <w:rPr>
          <w:rFonts w:cs="宋体"/>
          <w:bCs/>
          <w:sz w:val="24"/>
        </w:rPr>
      </w:pPr>
      <w:r>
        <w:rPr>
          <w:rFonts w:hint="eastAsia" w:cs="宋体"/>
          <w:bCs/>
          <w:sz w:val="24"/>
        </w:rPr>
        <w:t>当发生上述巨额赎回并延期办理时，基金管理人应依照《信息披露办法》的有关规定在规定媒介上刊登公告说明有关处理方法。</w:t>
      </w:r>
    </w:p>
    <w:p>
      <w:pPr>
        <w:pStyle w:val="21"/>
        <w:adjustRightInd w:val="0"/>
        <w:snapToGrid w:val="0"/>
        <w:ind w:firstLine="480"/>
        <w:rPr>
          <w:rFonts w:cs="宋体"/>
          <w:sz w:val="24"/>
        </w:rPr>
      </w:pPr>
      <w:r>
        <w:rPr>
          <w:rFonts w:hint="eastAsia" w:cs="宋体"/>
          <w:sz w:val="24"/>
        </w:rPr>
        <w:t>十三、暂停申购或赎回的公告和重新开放申购或赎回的公告</w:t>
      </w:r>
    </w:p>
    <w:p>
      <w:pPr>
        <w:pStyle w:val="21"/>
        <w:adjustRightInd w:val="0"/>
        <w:snapToGrid w:val="0"/>
        <w:ind w:firstLine="480"/>
        <w:rPr>
          <w:rFonts w:cs="宋体"/>
          <w:bCs/>
          <w:sz w:val="24"/>
        </w:rPr>
      </w:pPr>
      <w:r>
        <w:rPr>
          <w:rFonts w:hint="eastAsia" w:cs="宋体"/>
          <w:bCs/>
          <w:sz w:val="24"/>
        </w:rPr>
        <w:t>1、发生上述暂停申购或赎回情况的，基金管理人应在规定期限内在规定媒介上刊登暂停公告。</w:t>
      </w:r>
    </w:p>
    <w:p>
      <w:pPr>
        <w:pStyle w:val="21"/>
        <w:adjustRightInd w:val="0"/>
        <w:snapToGrid w:val="0"/>
        <w:ind w:firstLine="480"/>
        <w:rPr>
          <w:rFonts w:cs="宋体"/>
          <w:bCs/>
          <w:sz w:val="24"/>
        </w:rPr>
      </w:pPr>
      <w:r>
        <w:rPr>
          <w:rFonts w:hint="eastAsia" w:cs="宋体"/>
          <w:bCs/>
          <w:sz w:val="24"/>
        </w:rPr>
        <w:t>2、上述暂停申购或赎回情况消除的，基金管理人应于重新开放日公布最近1个开放日的各类基金份额的基金份额净值。</w:t>
      </w:r>
    </w:p>
    <w:p>
      <w:pPr>
        <w:pStyle w:val="21"/>
        <w:adjustRightInd w:val="0"/>
        <w:snapToGrid w:val="0"/>
        <w:ind w:firstLine="480"/>
        <w:rPr>
          <w:rFonts w:cs="宋体"/>
          <w:bCs/>
          <w:sz w:val="24"/>
        </w:rPr>
      </w:pPr>
      <w:r>
        <w:rPr>
          <w:rFonts w:hint="eastAsia" w:cs="宋体"/>
          <w:bCs/>
          <w:sz w:val="24"/>
        </w:rPr>
        <w:t>3、基金管理人可以根据暂停申购或赎回的时间，</w:t>
      </w:r>
      <w:r>
        <w:rPr>
          <w:rFonts w:hint="eastAsia" w:ascii="黑体" w:hAnsi="黑体"/>
          <w:bCs/>
          <w:sz w:val="24"/>
          <w:szCs w:val="24"/>
        </w:rPr>
        <w:t>依照《信息披露办法》的有关规定</w:t>
      </w:r>
      <w:r>
        <w:rPr>
          <w:rFonts w:hint="eastAsia" w:cs="宋体"/>
          <w:bCs/>
          <w:sz w:val="24"/>
        </w:rPr>
        <w:t>在规定媒介上刊登重新开放申购或赎回的公告；也可以根据实际情况在暂停申购或赎回公告中明确重新开放申购或赎回的时间，届时不再另行发布重新开放的公告。</w:t>
      </w:r>
    </w:p>
    <w:p>
      <w:pPr>
        <w:pStyle w:val="21"/>
        <w:adjustRightInd w:val="0"/>
        <w:snapToGrid w:val="0"/>
        <w:ind w:firstLine="480"/>
        <w:rPr>
          <w:rFonts w:cs="宋体"/>
          <w:sz w:val="24"/>
        </w:rPr>
      </w:pPr>
      <w:r>
        <w:rPr>
          <w:rFonts w:hint="eastAsia" w:cs="宋体"/>
          <w:sz w:val="24"/>
        </w:rPr>
        <w:t>十四、基金转换</w:t>
      </w:r>
    </w:p>
    <w:p>
      <w:pPr>
        <w:adjustRightInd w:val="0"/>
        <w:snapToGrid w:val="0"/>
        <w:spacing w:line="360" w:lineRule="auto"/>
        <w:ind w:firstLine="480" w:firstLineChars="200"/>
        <w:rPr>
          <w:rFonts w:ascii="宋体" w:hAnsi="宋体"/>
          <w:bCs/>
          <w:sz w:val="24"/>
        </w:rPr>
      </w:pPr>
      <w:r>
        <w:rPr>
          <w:rFonts w:hint="eastAsia" w:ascii="宋体" w:hAnsi="宋体"/>
          <w:bCs/>
          <w:sz w:val="24"/>
        </w:rPr>
        <w:t>基金管理人可以根据相关法律法规以及基金合同的规定决定开办本基金的转换业务，基金转换可以收取一定的转换费，相关规则由基金管理人届时根据相关法律法规及基金合同的规定制定并公告，并提前告知基金托管人与相关机构。</w:t>
      </w:r>
    </w:p>
    <w:p>
      <w:pPr>
        <w:pStyle w:val="21"/>
        <w:adjustRightInd w:val="0"/>
        <w:snapToGrid w:val="0"/>
        <w:ind w:firstLine="480"/>
        <w:rPr>
          <w:rFonts w:cs="宋体"/>
          <w:sz w:val="24"/>
        </w:rPr>
      </w:pPr>
      <w:r>
        <w:rPr>
          <w:rFonts w:hint="eastAsia" w:cs="宋体"/>
          <w:sz w:val="24"/>
        </w:rPr>
        <w:t>十五、基金份额的转让</w:t>
      </w:r>
    </w:p>
    <w:p>
      <w:pPr>
        <w:adjustRightInd w:val="0"/>
        <w:snapToGrid w:val="0"/>
        <w:spacing w:line="360" w:lineRule="auto"/>
        <w:ind w:firstLine="480" w:firstLineChars="200"/>
        <w:rPr>
          <w:rFonts w:ascii="宋体" w:hAnsi="宋体"/>
          <w:bCs/>
          <w:sz w:val="24"/>
        </w:rPr>
      </w:pPr>
      <w:r>
        <w:rPr>
          <w:rFonts w:hint="eastAsia" w:ascii="宋体" w:hAnsi="宋体"/>
          <w:bCs/>
          <w:sz w:val="24"/>
        </w:rPr>
        <w:t>在法律法规允许且条件具备的情况下，基金管理人可受理基金份额持有人通过中国证监会认可的交易所或者交易方式进行份额转让的申请并由登记机构办理基金份额的过户登记。基金管理人拟受理基金份额转让业务的，将提前公告，基金份额持有人应根据基金管理人公告的业务规则办理基金份额转让业务。</w:t>
      </w:r>
    </w:p>
    <w:p>
      <w:pPr>
        <w:pStyle w:val="21"/>
        <w:adjustRightInd w:val="0"/>
        <w:snapToGrid w:val="0"/>
        <w:ind w:firstLine="480"/>
        <w:rPr>
          <w:rFonts w:cs="宋体"/>
          <w:sz w:val="24"/>
        </w:rPr>
      </w:pPr>
      <w:r>
        <w:rPr>
          <w:rFonts w:hint="eastAsia" w:cs="宋体"/>
          <w:sz w:val="24"/>
        </w:rPr>
        <w:t>十六、基金的非交易过户</w:t>
      </w:r>
    </w:p>
    <w:p>
      <w:pPr>
        <w:adjustRightInd w:val="0"/>
        <w:snapToGrid w:val="0"/>
        <w:spacing w:line="360" w:lineRule="auto"/>
        <w:ind w:firstLine="480" w:firstLineChars="200"/>
        <w:rPr>
          <w:rFonts w:ascii="宋体" w:hAnsi="宋体"/>
          <w:bCs/>
          <w:sz w:val="24"/>
        </w:rPr>
      </w:pPr>
      <w:r>
        <w:rPr>
          <w:rFonts w:hint="eastAsia" w:ascii="宋体" w:hAnsi="宋体"/>
          <w:bCs/>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或者是按照相关法律法规或国家有权机关要求的划转主体。</w:t>
      </w:r>
    </w:p>
    <w:p>
      <w:pPr>
        <w:adjustRightInd w:val="0"/>
        <w:snapToGrid w:val="0"/>
        <w:spacing w:line="360" w:lineRule="auto"/>
        <w:ind w:firstLine="480" w:firstLineChars="200"/>
        <w:rPr>
          <w:rFonts w:ascii="宋体" w:hAnsi="宋体"/>
          <w:bCs/>
          <w:sz w:val="24"/>
        </w:rPr>
      </w:pPr>
      <w:r>
        <w:rPr>
          <w:rFonts w:hint="eastAsia" w:ascii="宋体" w:hAnsi="宋体"/>
          <w:bCs/>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或者以其他方式处分。办理非交易过户必须提供基金登记机构要求提供的相关资料，对于符合条件的非交易过户申请按基金登记机构的规定办理，并按基金登记机构规定的标准收费。</w:t>
      </w:r>
    </w:p>
    <w:p>
      <w:pPr>
        <w:pStyle w:val="21"/>
        <w:adjustRightInd w:val="0"/>
        <w:snapToGrid w:val="0"/>
        <w:ind w:firstLine="480"/>
        <w:rPr>
          <w:rFonts w:cs="宋体"/>
          <w:sz w:val="24"/>
        </w:rPr>
      </w:pPr>
      <w:r>
        <w:rPr>
          <w:rFonts w:hint="eastAsia" w:cs="宋体"/>
          <w:sz w:val="24"/>
        </w:rPr>
        <w:t>十七、基金的转托管</w:t>
      </w:r>
    </w:p>
    <w:p>
      <w:pPr>
        <w:adjustRightInd w:val="0"/>
        <w:snapToGrid w:val="0"/>
        <w:spacing w:line="360" w:lineRule="auto"/>
        <w:ind w:firstLine="480" w:firstLineChars="200"/>
        <w:rPr>
          <w:rFonts w:ascii="宋体" w:hAnsi="宋体"/>
          <w:bCs/>
          <w:sz w:val="24"/>
        </w:rPr>
      </w:pPr>
      <w:r>
        <w:rPr>
          <w:rFonts w:ascii="宋体" w:hAnsi="宋体"/>
          <w:bCs/>
          <w:sz w:val="24"/>
        </w:rPr>
        <w:t>基金份额持有人可办理已持有基金份额在不同销售机构之间的转托管，基金销售机构可以按照规定的标准收取转托管费。</w:t>
      </w:r>
    </w:p>
    <w:p>
      <w:pPr>
        <w:pStyle w:val="21"/>
        <w:adjustRightInd w:val="0"/>
        <w:snapToGrid w:val="0"/>
        <w:ind w:firstLine="480"/>
        <w:rPr>
          <w:rFonts w:cs="宋体"/>
          <w:sz w:val="24"/>
        </w:rPr>
      </w:pPr>
      <w:r>
        <w:rPr>
          <w:rFonts w:hint="eastAsia" w:cs="宋体"/>
          <w:sz w:val="24"/>
        </w:rPr>
        <w:t>十八、定期定额投资计划</w:t>
      </w:r>
    </w:p>
    <w:p>
      <w:pPr>
        <w:pStyle w:val="21"/>
        <w:adjustRightInd w:val="0"/>
        <w:snapToGrid w:val="0"/>
        <w:ind w:firstLine="480"/>
        <w:rPr>
          <w:rFonts w:cs="宋体"/>
          <w:sz w:val="24"/>
        </w:rPr>
      </w:pPr>
      <w:r>
        <w:rPr>
          <w:rFonts w:hint="eastAsia" w:cs="宋体"/>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r>
        <w:rPr>
          <w:rFonts w:hint="eastAsia" w:cs="宋体"/>
          <w:sz w:val="24"/>
        </w:rPr>
        <w:t>。</w:t>
      </w:r>
    </w:p>
    <w:p>
      <w:pPr>
        <w:pStyle w:val="21"/>
        <w:adjustRightInd w:val="0"/>
        <w:snapToGrid w:val="0"/>
        <w:ind w:firstLine="480"/>
        <w:rPr>
          <w:rFonts w:cs="宋体"/>
          <w:sz w:val="24"/>
        </w:rPr>
      </w:pPr>
      <w:r>
        <w:rPr>
          <w:rFonts w:hint="eastAsia" w:cs="宋体"/>
          <w:sz w:val="24"/>
        </w:rPr>
        <w:t>十九、基金份额的冻结和解冻</w:t>
      </w:r>
    </w:p>
    <w:p>
      <w:pPr>
        <w:adjustRightInd w:val="0"/>
        <w:snapToGrid w:val="0"/>
        <w:spacing w:line="360" w:lineRule="auto"/>
        <w:ind w:firstLine="480" w:firstLineChars="200"/>
        <w:rPr>
          <w:rFonts w:cs="宋体"/>
          <w:bCs/>
          <w:sz w:val="24"/>
        </w:rPr>
      </w:pPr>
      <w:r>
        <w:rPr>
          <w:rFonts w:hint="eastAsia" w:cs="宋体"/>
          <w:bCs/>
          <w:sz w:val="24"/>
        </w:rPr>
        <w:t>基金登记机构只受理国家有权机关依法要求的基金份额的冻结与解冻，以及登记机构认可、符合法律法规的其他情况下的冻结与解冻。基金份额被冻结的，被冻结部分产生的权益按照我国法律法规、监管规章以及国家有权机关的要求来决定是否冻结。如无法律法规明确规定或国家有权机关的明确指示，被冻结的基金份额产生的权益（权益为现金红利部分，自动转为相应类别的基金份额）先行一并冻结。被冻结基金份额仍然参与收益分配。法律法规另有规定的除外。</w:t>
      </w:r>
    </w:p>
    <w:p>
      <w:pPr>
        <w:adjustRightInd w:val="0"/>
        <w:snapToGrid w:val="0"/>
        <w:spacing w:line="360" w:lineRule="auto"/>
        <w:ind w:firstLine="480" w:firstLineChars="200"/>
        <w:rPr>
          <w:rFonts w:ascii="宋体" w:hAnsi="宋体" w:cs="宋体"/>
          <w:bCs/>
          <w:sz w:val="24"/>
          <w:szCs w:val="20"/>
        </w:rPr>
      </w:pPr>
      <w:r>
        <w:rPr>
          <w:rFonts w:hint="eastAsia" w:ascii="宋体" w:hAnsi="宋体" w:cs="宋体"/>
          <w:bCs/>
          <w:sz w:val="24"/>
          <w:szCs w:val="20"/>
        </w:rPr>
        <w:t>二十、基金份额折算</w:t>
      </w:r>
    </w:p>
    <w:p>
      <w:pPr>
        <w:adjustRightInd w:val="0"/>
        <w:snapToGrid w:val="0"/>
        <w:spacing w:line="360" w:lineRule="auto"/>
        <w:ind w:firstLine="480" w:firstLineChars="200"/>
        <w:rPr>
          <w:rFonts w:ascii="宋体" w:hAnsi="宋体" w:cs="宋体"/>
          <w:bCs/>
          <w:sz w:val="24"/>
          <w:szCs w:val="20"/>
        </w:rPr>
      </w:pPr>
      <w:r>
        <w:rPr>
          <w:rFonts w:hint="eastAsia" w:ascii="宋体" w:hAnsi="宋体" w:cs="宋体"/>
          <w:bCs/>
          <w:sz w:val="24"/>
          <w:szCs w:val="20"/>
        </w:rPr>
        <w:t>在对基金份额持有人利益无实质性不利影响的前提下，基金管理人经与基金托管人协商一致，可对基金份额进行折算，不需召开基金份额持有人大会审议。</w:t>
      </w:r>
    </w:p>
    <w:p>
      <w:pPr>
        <w:adjustRightInd w:val="0"/>
        <w:snapToGrid w:val="0"/>
        <w:spacing w:line="360" w:lineRule="auto"/>
        <w:ind w:firstLine="480" w:firstLineChars="200"/>
        <w:rPr>
          <w:rFonts w:ascii="宋体" w:hAnsi="宋体" w:cs="宋体"/>
          <w:bCs/>
          <w:sz w:val="24"/>
          <w:szCs w:val="20"/>
        </w:rPr>
      </w:pPr>
      <w:r>
        <w:rPr>
          <w:rFonts w:hint="eastAsia" w:ascii="宋体" w:hAnsi="宋体" w:cs="宋体"/>
          <w:bCs/>
          <w:sz w:val="24"/>
          <w:szCs w:val="20"/>
        </w:rPr>
        <w:t>二十一</w:t>
      </w:r>
      <w:r>
        <w:rPr>
          <w:rFonts w:ascii="宋体" w:hAnsi="宋体" w:cs="宋体"/>
          <w:bCs/>
          <w:sz w:val="24"/>
          <w:szCs w:val="20"/>
        </w:rPr>
        <w:t>、</w:t>
      </w:r>
      <w:r>
        <w:rPr>
          <w:rFonts w:hint="eastAsia" w:ascii="宋体" w:hAnsi="宋体" w:cs="宋体"/>
          <w:bCs/>
          <w:sz w:val="24"/>
          <w:szCs w:val="20"/>
        </w:rPr>
        <w:t>实施侧袋机制期间本基金的申购与赎回</w:t>
      </w:r>
    </w:p>
    <w:p>
      <w:pPr>
        <w:adjustRightInd w:val="0"/>
        <w:snapToGrid w:val="0"/>
        <w:spacing w:line="360" w:lineRule="auto"/>
        <w:ind w:firstLine="480" w:firstLineChars="200"/>
        <w:rPr>
          <w:rFonts w:ascii="宋体" w:hAnsi="宋体" w:cs="宋体"/>
          <w:bCs/>
          <w:sz w:val="24"/>
          <w:szCs w:val="20"/>
        </w:rPr>
      </w:pPr>
      <w:r>
        <w:rPr>
          <w:rFonts w:hint="eastAsia" w:ascii="宋体" w:hAnsi="宋体" w:cs="宋体"/>
          <w:bCs/>
          <w:sz w:val="24"/>
          <w:szCs w:val="20"/>
        </w:rPr>
        <w:t>本基金实施侧袋机制的，本基金的申购和赎回安排详见本招募说明书“第十六部分  侧袋机制”的规定或相关公告。</w:t>
      </w:r>
    </w:p>
    <w:p>
      <w:pPr>
        <w:adjustRightInd w:val="0"/>
        <w:snapToGrid w:val="0"/>
        <w:spacing w:line="360" w:lineRule="auto"/>
        <w:ind w:firstLine="480" w:firstLineChars="200"/>
        <w:rPr>
          <w:rFonts w:ascii="宋体" w:hAnsi="宋体"/>
        </w:rPr>
      </w:pPr>
      <w:r>
        <w:rPr>
          <w:rFonts w:hint="eastAsia" w:ascii="宋体" w:hAnsi="宋体" w:cs="宋体"/>
          <w:bCs/>
          <w:sz w:val="24"/>
          <w:szCs w:val="20"/>
        </w:rPr>
        <w:t>二十二、在不违反相关法律法规规定和基金合同约定且对基金份额持有人利益无实质性不利影响的前提下，基金管理人可以与基金托管人协商一致并在履行相关程序后，根据具体情况对上述申购和赎回的安排进行补充和调整，或者办理基金份额质押等相关业务，届时须提前公告。</w:t>
      </w:r>
      <w:bookmarkEnd w:id="35"/>
      <w:r>
        <w:rPr>
          <w:rFonts w:ascii="宋体" w:hAnsi="宋体"/>
          <w:bCs/>
          <w:sz w:val="24"/>
          <w:szCs w:val="20"/>
        </w:rPr>
        <w:br w:type="page"/>
      </w:r>
    </w:p>
    <w:p>
      <w:pPr>
        <w:pStyle w:val="2"/>
        <w:adjustRightInd w:val="0"/>
        <w:snapToGrid w:val="0"/>
        <w:spacing w:before="0" w:after="0" w:line="360" w:lineRule="auto"/>
        <w:jc w:val="center"/>
        <w:rPr>
          <w:rFonts w:ascii="宋体" w:hAnsi="宋体"/>
        </w:rPr>
      </w:pPr>
      <w:bookmarkStart w:id="37" w:name="_Toc103003351"/>
      <w:r>
        <w:rPr>
          <w:rFonts w:ascii="宋体" w:hAnsi="宋体"/>
        </w:rPr>
        <w:t>第</w:t>
      </w:r>
      <w:r>
        <w:rPr>
          <w:rFonts w:hint="eastAsia" w:ascii="宋体" w:hAnsi="宋体"/>
        </w:rPr>
        <w:t>九</w:t>
      </w:r>
      <w:r>
        <w:rPr>
          <w:rFonts w:ascii="宋体" w:hAnsi="宋体"/>
        </w:rPr>
        <w:t>部分</w:t>
      </w:r>
      <w:r>
        <w:rPr>
          <w:rFonts w:hint="eastAsia" w:ascii="宋体" w:hAnsi="宋体"/>
        </w:rPr>
        <w:t xml:space="preserve">  基金的投资</w:t>
      </w:r>
      <w:bookmarkEnd w:id="37"/>
    </w:p>
    <w:p>
      <w:pPr>
        <w:pStyle w:val="21"/>
        <w:adjustRightInd w:val="0"/>
        <w:snapToGrid w:val="0"/>
        <w:ind w:firstLine="480"/>
        <w:rPr>
          <w:sz w:val="24"/>
        </w:rPr>
      </w:pPr>
    </w:p>
    <w:p>
      <w:pPr>
        <w:pStyle w:val="21"/>
        <w:adjustRightInd w:val="0"/>
        <w:snapToGrid w:val="0"/>
        <w:ind w:firstLine="480"/>
        <w:rPr>
          <w:rFonts w:cs="宋体"/>
          <w:bCs/>
          <w:sz w:val="24"/>
        </w:rPr>
      </w:pPr>
      <w:bookmarkStart w:id="38" w:name="_Hlk130212624"/>
      <w:r>
        <w:rPr>
          <w:rFonts w:hint="eastAsia" w:cs="宋体"/>
          <w:bCs/>
          <w:sz w:val="24"/>
        </w:rPr>
        <w:t>一、投资目标</w:t>
      </w:r>
    </w:p>
    <w:p>
      <w:pPr>
        <w:pStyle w:val="21"/>
        <w:adjustRightInd w:val="0"/>
        <w:snapToGrid w:val="0"/>
        <w:ind w:firstLine="480"/>
        <w:rPr>
          <w:rFonts w:cs="宋体"/>
          <w:sz w:val="24"/>
        </w:rPr>
      </w:pPr>
      <w:r>
        <w:rPr>
          <w:rFonts w:hint="eastAsia" w:cs="宋体"/>
          <w:sz w:val="24"/>
        </w:rPr>
        <w:t>本基金主要通过投资于目标ETF，紧密跟踪标的指数，追求跟踪偏离度和跟踪误差最小化。</w:t>
      </w:r>
    </w:p>
    <w:p>
      <w:pPr>
        <w:pStyle w:val="21"/>
        <w:adjustRightInd w:val="0"/>
        <w:snapToGrid w:val="0"/>
        <w:ind w:firstLine="480"/>
        <w:rPr>
          <w:rFonts w:cs="宋体"/>
          <w:bCs/>
          <w:sz w:val="24"/>
        </w:rPr>
      </w:pPr>
      <w:r>
        <w:rPr>
          <w:rFonts w:hint="eastAsia" w:cs="宋体"/>
          <w:bCs/>
          <w:sz w:val="24"/>
        </w:rPr>
        <w:t>二、投资范围</w:t>
      </w:r>
    </w:p>
    <w:p>
      <w:pPr>
        <w:pStyle w:val="21"/>
        <w:adjustRightInd w:val="0"/>
        <w:snapToGrid w:val="0"/>
        <w:ind w:firstLine="480"/>
        <w:rPr>
          <w:bCs/>
          <w:sz w:val="24"/>
          <w:szCs w:val="24"/>
        </w:rPr>
      </w:pPr>
      <w:r>
        <w:rPr>
          <w:rFonts w:hint="eastAsia"/>
          <w:bCs/>
          <w:sz w:val="24"/>
          <w:szCs w:val="24"/>
        </w:rPr>
        <w:t>本基金以目标ETF基金份额、标的指数成份股及备选成份股为主要投资对象。此外，为更好地实现投资目标，本基金可少量投资于部分非成份股（包括主板股票、创业板股票、</w:t>
      </w:r>
      <w:r>
        <w:rPr>
          <w:rFonts w:hint="eastAsia"/>
          <w:sz w:val="24"/>
        </w:rPr>
        <w:t>科创板股票、</w:t>
      </w:r>
      <w:r>
        <w:rPr>
          <w:rFonts w:hint="eastAsia"/>
          <w:bCs/>
          <w:sz w:val="24"/>
          <w:szCs w:val="24"/>
        </w:rPr>
        <w:t>存托凭证及其他经中国证监会核准或注册上市的股票）、债券资产（包括国债、金融债券、企业债券、公司债券、</w:t>
      </w:r>
      <w:r>
        <w:rPr>
          <w:rFonts w:hint="eastAsia"/>
          <w:sz w:val="24"/>
        </w:rPr>
        <w:t>公开发行的</w:t>
      </w:r>
      <w:r>
        <w:rPr>
          <w:rFonts w:hint="eastAsia"/>
          <w:bCs/>
          <w:sz w:val="24"/>
          <w:szCs w:val="24"/>
        </w:rPr>
        <w:t>次级债券、可转换公司债券、分离交易可转换公司债券、央行票据、短期融资券、超短期融资券、地方政府债券、政府支持机构债券、中期票据、可交换债券以及其他中国证监会允许投资的债券）、银行存款（包括银行定期存款、协议存款及其他银行存款）、资产支持证券、债券回购、同业存单、现金、衍生工具（股指期货、股票期权）以及法律法规或中国证监会允许基金投资的其他金融工具，但须符合中国证监会相关规定。</w:t>
      </w:r>
    </w:p>
    <w:p>
      <w:pPr>
        <w:pStyle w:val="21"/>
        <w:adjustRightInd w:val="0"/>
        <w:snapToGrid w:val="0"/>
        <w:ind w:firstLine="480"/>
        <w:rPr>
          <w:bCs/>
          <w:sz w:val="24"/>
          <w:szCs w:val="24"/>
        </w:rPr>
      </w:pPr>
      <w:r>
        <w:rPr>
          <w:rFonts w:hint="eastAsia"/>
          <w:bCs/>
          <w:sz w:val="24"/>
          <w:szCs w:val="24"/>
        </w:rPr>
        <w:t>本基金可以根据相关法律法规，参与融资及转融通证券出借业务，以提高投资效率及进行风险管理。</w:t>
      </w:r>
    </w:p>
    <w:p>
      <w:pPr>
        <w:pStyle w:val="21"/>
        <w:adjustRightInd w:val="0"/>
        <w:snapToGrid w:val="0"/>
        <w:ind w:firstLine="480"/>
        <w:rPr>
          <w:bCs/>
          <w:sz w:val="24"/>
          <w:szCs w:val="24"/>
        </w:rPr>
      </w:pPr>
      <w:r>
        <w:rPr>
          <w:rFonts w:hint="eastAsia"/>
          <w:bCs/>
          <w:sz w:val="24"/>
          <w:szCs w:val="24"/>
        </w:rPr>
        <w:t>如法律法规或监管机构以后允许基金投资其他品种，基金管理人在履行适当程序后，可以将其纳入投资范围，其投资原则及投资比例限制按法律法规或监管机构的相关规定执行。</w:t>
      </w:r>
    </w:p>
    <w:p>
      <w:pPr>
        <w:pStyle w:val="21"/>
        <w:adjustRightInd w:val="0"/>
        <w:snapToGrid w:val="0"/>
        <w:ind w:firstLine="480"/>
        <w:rPr>
          <w:bCs/>
          <w:sz w:val="24"/>
          <w:szCs w:val="24"/>
        </w:rPr>
      </w:pPr>
      <w:r>
        <w:rPr>
          <w:rFonts w:hint="eastAsia"/>
          <w:bCs/>
          <w:sz w:val="24"/>
          <w:szCs w:val="24"/>
        </w:rPr>
        <w:t>基金的投资组合比例为：本基金投资于目标ETF的比例不低于基金资产净值的90%，每个交易日日终在扣除股指期货合约、股票期权合约需缴纳的交易保证金后，保持不低于基金资产净值5%的现金或者到期日在一年以内的政府债券，其中，现金不包括结算备付金、存出保证金和应收申购款等。</w:t>
      </w:r>
    </w:p>
    <w:p>
      <w:pPr>
        <w:adjustRightInd w:val="0"/>
        <w:snapToGrid w:val="0"/>
        <w:spacing w:line="360" w:lineRule="auto"/>
        <w:ind w:firstLine="480" w:firstLineChars="200"/>
        <w:rPr>
          <w:bCs/>
          <w:sz w:val="24"/>
        </w:rPr>
      </w:pPr>
      <w:r>
        <w:rPr>
          <w:rFonts w:hint="eastAsia"/>
          <w:bCs/>
          <w:sz w:val="24"/>
        </w:rPr>
        <w:t>如法律法规或</w:t>
      </w:r>
      <w:r>
        <w:rPr>
          <w:bCs/>
          <w:sz w:val="24"/>
        </w:rPr>
        <w:t>监管机构</w:t>
      </w:r>
      <w:r>
        <w:rPr>
          <w:rFonts w:hint="eastAsia"/>
          <w:bCs/>
          <w:sz w:val="24"/>
        </w:rPr>
        <w:t>变更相关投资品种的投资比例限制，基金管理人在履行适当程序后，可以调整上述投资品种的投资比例或</w:t>
      </w:r>
      <w:r>
        <w:rPr>
          <w:bCs/>
          <w:sz w:val="24"/>
        </w:rPr>
        <w:t>按变更后的规定执行</w:t>
      </w:r>
      <w:r>
        <w:rPr>
          <w:rFonts w:hint="eastAsia"/>
          <w:bCs/>
          <w:sz w:val="24"/>
        </w:rPr>
        <w:t>。</w:t>
      </w:r>
    </w:p>
    <w:p>
      <w:pPr>
        <w:adjustRightInd w:val="0"/>
        <w:snapToGrid w:val="0"/>
        <w:spacing w:line="360" w:lineRule="auto"/>
        <w:ind w:firstLine="480" w:firstLineChars="200"/>
        <w:rPr>
          <w:rFonts w:ascii="宋体" w:hAnsi="宋体"/>
          <w:bCs/>
          <w:sz w:val="24"/>
        </w:rPr>
      </w:pPr>
      <w:r>
        <w:rPr>
          <w:rFonts w:ascii="宋体" w:hAnsi="宋体"/>
          <w:bCs/>
          <w:sz w:val="24"/>
        </w:rPr>
        <w:t>三、投资策略</w:t>
      </w:r>
    </w:p>
    <w:p>
      <w:pPr>
        <w:adjustRightInd w:val="0"/>
        <w:snapToGrid w:val="0"/>
        <w:spacing w:line="360" w:lineRule="auto"/>
        <w:ind w:firstLine="480" w:firstLineChars="200"/>
        <w:rPr>
          <w:rFonts w:ascii="宋体" w:hAnsi="宋体"/>
          <w:bCs/>
          <w:sz w:val="24"/>
        </w:rPr>
      </w:pPr>
      <w:r>
        <w:rPr>
          <w:rFonts w:hint="eastAsia" w:ascii="宋体" w:hAnsi="宋体"/>
          <w:bCs/>
          <w:sz w:val="24"/>
        </w:rPr>
        <w:t>本基金为ETF联接基金，主要通过投资于目标ETF，以实现对标的指数的紧密跟踪。本基金力争将本基金净值增长率与业绩比较基准之间的日均跟踪偏离度的绝对值控制在0.35%以内，年跟踪误差控制在4%以内。如因指数编制规则调整或其他因素导致跟踪偏离度和跟踪误差超过上述范围，基金管理人应采取合理措施避免跟踪偏离度、跟踪误差进一步扩大。</w:t>
      </w:r>
    </w:p>
    <w:p>
      <w:pPr>
        <w:adjustRightInd w:val="0"/>
        <w:snapToGrid w:val="0"/>
        <w:spacing w:line="360" w:lineRule="auto"/>
        <w:ind w:firstLine="480" w:firstLineChars="200"/>
        <w:rPr>
          <w:rFonts w:ascii="宋体" w:hAnsi="宋体"/>
          <w:bCs/>
          <w:sz w:val="24"/>
        </w:rPr>
      </w:pPr>
      <w:r>
        <w:rPr>
          <w:rFonts w:hint="eastAsia" w:ascii="宋体" w:hAnsi="宋体"/>
          <w:bCs/>
          <w:sz w:val="24"/>
        </w:rPr>
        <w:t>（一）资产配置策略</w:t>
      </w:r>
    </w:p>
    <w:p>
      <w:pPr>
        <w:adjustRightInd w:val="0"/>
        <w:snapToGrid w:val="0"/>
        <w:spacing w:line="360" w:lineRule="auto"/>
        <w:ind w:firstLine="480" w:firstLineChars="200"/>
        <w:rPr>
          <w:rFonts w:ascii="宋体" w:hAnsi="宋体"/>
          <w:bCs/>
          <w:sz w:val="24"/>
        </w:rPr>
      </w:pPr>
      <w:r>
        <w:rPr>
          <w:rFonts w:hint="eastAsia" w:ascii="宋体" w:hAnsi="宋体"/>
          <w:bCs/>
          <w:sz w:val="24"/>
        </w:rPr>
        <w:t>本基金主要投资于目标ETF、标的指数成份股、备选成份股，其中投资于目标ETF的比例不低于基金资产净值的90%，每个交易日日终在扣除股指期货合约、股票期权合约需缴纳的交易保证金后，保持不低于基金资产净值5%的现金或者到期日在一年以内的政府债券。为更好地实现投资目标，本基金可少量投资于部分非成份股（包括主板股票、创业板股票、</w:t>
      </w:r>
      <w:r>
        <w:rPr>
          <w:bCs/>
          <w:sz w:val="24"/>
        </w:rPr>
        <w:t>科创板股票、</w:t>
      </w:r>
      <w:r>
        <w:rPr>
          <w:rFonts w:hint="eastAsia" w:ascii="宋体" w:hAnsi="宋体"/>
          <w:bCs/>
          <w:sz w:val="24"/>
        </w:rPr>
        <w:t>存托凭证及其他经中国证监会核准或注册上市的股票）、债券资产（包括国债、金融债券、企业债券、公司债券、</w:t>
      </w:r>
      <w:r>
        <w:rPr>
          <w:bCs/>
          <w:sz w:val="24"/>
        </w:rPr>
        <w:t>公开发行的</w:t>
      </w:r>
      <w:r>
        <w:rPr>
          <w:rFonts w:hint="eastAsia" w:ascii="宋体" w:hAnsi="宋体"/>
          <w:bCs/>
          <w:sz w:val="24"/>
        </w:rPr>
        <w:t>次级债券、可转换公司债券、分离交易可转换公司债券、央行票据、短期融资券、超短期融资券、地方政府债券、政府支持机构债券、中期票据、可交换债券以及其他中国证监会允许投资的债券）、银行存款（包括银行定期存款、协议存款及其他银行存款）、资产支持证券、债券回购、同业存单、现金、衍生工具（股指期货、股票期权）以及法律法规或中国证监会允许基金投资的其他金融工具，其目的是为了使本基金在应付申购赎回的前提下，更好地跟踪标的指数。</w:t>
      </w:r>
    </w:p>
    <w:p>
      <w:pPr>
        <w:adjustRightInd w:val="0"/>
        <w:snapToGrid w:val="0"/>
        <w:spacing w:line="360" w:lineRule="auto"/>
        <w:ind w:firstLine="480" w:firstLineChars="200"/>
        <w:rPr>
          <w:rFonts w:ascii="宋体" w:hAnsi="宋体"/>
          <w:bCs/>
          <w:sz w:val="24"/>
        </w:rPr>
      </w:pPr>
      <w:r>
        <w:rPr>
          <w:rFonts w:hint="eastAsia" w:ascii="宋体" w:hAnsi="宋体"/>
          <w:bCs/>
          <w:sz w:val="24"/>
        </w:rPr>
        <w:t>本基金将根据市场的实际情况，适当调整基金资产在各类资产上的配置比例，以保证对标的指数的有效跟踪。</w:t>
      </w:r>
    </w:p>
    <w:p>
      <w:pPr>
        <w:adjustRightInd w:val="0"/>
        <w:snapToGrid w:val="0"/>
        <w:spacing w:line="360" w:lineRule="auto"/>
        <w:ind w:firstLine="480" w:firstLineChars="200"/>
        <w:rPr>
          <w:rFonts w:ascii="宋体" w:hAnsi="宋体"/>
          <w:bCs/>
          <w:sz w:val="24"/>
        </w:rPr>
      </w:pPr>
      <w:r>
        <w:rPr>
          <w:rFonts w:hint="eastAsia" w:ascii="宋体" w:hAnsi="宋体"/>
          <w:bCs/>
          <w:sz w:val="24"/>
        </w:rPr>
        <w:t>（二）目标ETF投资策略</w:t>
      </w:r>
    </w:p>
    <w:p>
      <w:pPr>
        <w:adjustRightInd w:val="0"/>
        <w:snapToGrid w:val="0"/>
        <w:spacing w:line="360" w:lineRule="auto"/>
        <w:ind w:firstLine="480" w:firstLineChars="200"/>
        <w:rPr>
          <w:rFonts w:ascii="宋体" w:hAnsi="宋体"/>
          <w:bCs/>
          <w:sz w:val="24"/>
        </w:rPr>
      </w:pPr>
      <w:r>
        <w:rPr>
          <w:rFonts w:hint="eastAsia" w:ascii="宋体" w:hAnsi="宋体"/>
          <w:bCs/>
          <w:sz w:val="24"/>
        </w:rPr>
        <w:t>1、投资组合的投资方式</w:t>
      </w:r>
    </w:p>
    <w:p>
      <w:pPr>
        <w:adjustRightInd w:val="0"/>
        <w:snapToGrid w:val="0"/>
        <w:spacing w:line="360" w:lineRule="auto"/>
        <w:ind w:firstLine="480" w:firstLineChars="200"/>
        <w:rPr>
          <w:rFonts w:ascii="宋体" w:hAnsi="宋体"/>
          <w:bCs/>
          <w:sz w:val="24"/>
        </w:rPr>
      </w:pPr>
      <w:r>
        <w:rPr>
          <w:rFonts w:hint="eastAsia" w:ascii="宋体" w:hAnsi="宋体"/>
          <w:bCs/>
          <w:sz w:val="24"/>
        </w:rPr>
        <w:t>本基金在综合考虑合规、风险、效率、成本等因素的基础上，决定采用申赎的方式或证券二级市场交易的方式进行目标ETF的买卖。</w:t>
      </w:r>
    </w:p>
    <w:p>
      <w:pPr>
        <w:adjustRightInd w:val="0"/>
        <w:snapToGrid w:val="0"/>
        <w:spacing w:line="360" w:lineRule="auto"/>
        <w:ind w:firstLine="480" w:firstLineChars="200"/>
        <w:rPr>
          <w:rFonts w:ascii="宋体" w:hAnsi="宋体"/>
          <w:bCs/>
          <w:sz w:val="24"/>
        </w:rPr>
      </w:pPr>
      <w:r>
        <w:rPr>
          <w:rFonts w:hint="eastAsia" w:ascii="宋体" w:hAnsi="宋体"/>
          <w:bCs/>
          <w:sz w:val="24"/>
        </w:rPr>
        <w:t>2、投资组合的调整</w:t>
      </w:r>
    </w:p>
    <w:p>
      <w:pPr>
        <w:adjustRightInd w:val="0"/>
        <w:snapToGrid w:val="0"/>
        <w:spacing w:line="360" w:lineRule="auto"/>
        <w:ind w:firstLine="480" w:firstLineChars="200"/>
        <w:rPr>
          <w:rFonts w:ascii="宋体" w:hAnsi="宋体"/>
          <w:bCs/>
          <w:sz w:val="24"/>
        </w:rPr>
      </w:pPr>
      <w:r>
        <w:rPr>
          <w:rFonts w:hint="eastAsia" w:ascii="宋体" w:hAnsi="宋体"/>
          <w:bCs/>
          <w:sz w:val="24"/>
        </w:rPr>
        <w:t>本基金将根据开放日申购和赎回情况，决定投资目标ETF的时间和方式。</w:t>
      </w:r>
    </w:p>
    <w:p>
      <w:pPr>
        <w:adjustRightInd w:val="0"/>
        <w:snapToGrid w:val="0"/>
        <w:spacing w:line="360" w:lineRule="auto"/>
        <w:ind w:firstLine="480" w:firstLineChars="200"/>
        <w:rPr>
          <w:rFonts w:ascii="宋体" w:hAnsi="宋体"/>
          <w:bCs/>
          <w:sz w:val="24"/>
        </w:rPr>
      </w:pPr>
      <w:r>
        <w:rPr>
          <w:rFonts w:hint="eastAsia" w:ascii="宋体" w:hAnsi="宋体"/>
          <w:bCs/>
          <w:sz w:val="24"/>
        </w:rPr>
        <w:t>（1）当净申购时，本基金将根据净申购规模及仓位情况，决定股票组合的构建、目标ETF的申购或买入等；</w:t>
      </w:r>
    </w:p>
    <w:p>
      <w:pPr>
        <w:adjustRightInd w:val="0"/>
        <w:snapToGrid w:val="0"/>
        <w:spacing w:line="360" w:lineRule="auto"/>
        <w:ind w:firstLine="480" w:firstLineChars="200"/>
        <w:rPr>
          <w:rFonts w:ascii="宋体" w:hAnsi="宋体"/>
          <w:bCs/>
          <w:sz w:val="24"/>
        </w:rPr>
      </w:pPr>
      <w:r>
        <w:rPr>
          <w:rFonts w:hint="eastAsia" w:ascii="宋体" w:hAnsi="宋体"/>
          <w:bCs/>
          <w:sz w:val="24"/>
        </w:rPr>
        <w:t>（2）当净赎回时，本基金将根据净赎回规模及仓位情况，决定目标ETF的赎回或卖出等。</w:t>
      </w:r>
    </w:p>
    <w:p>
      <w:pPr>
        <w:adjustRightInd w:val="0"/>
        <w:snapToGrid w:val="0"/>
        <w:spacing w:line="360" w:lineRule="auto"/>
        <w:ind w:firstLine="480" w:firstLineChars="200"/>
        <w:rPr>
          <w:rFonts w:ascii="宋体" w:hAnsi="宋体"/>
          <w:bCs/>
          <w:sz w:val="24"/>
        </w:rPr>
      </w:pPr>
      <w:r>
        <w:rPr>
          <w:rFonts w:hint="eastAsia" w:ascii="宋体" w:hAnsi="宋体"/>
          <w:bCs/>
          <w:sz w:val="24"/>
        </w:rPr>
        <w:t>（三）股票投资策略</w:t>
      </w:r>
    </w:p>
    <w:p>
      <w:pPr>
        <w:adjustRightInd w:val="0"/>
        <w:snapToGrid w:val="0"/>
        <w:spacing w:line="360" w:lineRule="auto"/>
        <w:ind w:firstLine="480" w:firstLineChars="200"/>
        <w:rPr>
          <w:rFonts w:ascii="宋体" w:hAnsi="宋体"/>
          <w:bCs/>
          <w:sz w:val="24"/>
        </w:rPr>
      </w:pPr>
      <w:r>
        <w:rPr>
          <w:rFonts w:hint="eastAsia" w:ascii="宋体" w:hAnsi="宋体"/>
          <w:bCs/>
          <w:sz w:val="24"/>
        </w:rPr>
        <w:t>1、股票组合构建原则</w:t>
      </w:r>
    </w:p>
    <w:p>
      <w:pPr>
        <w:adjustRightInd w:val="0"/>
        <w:snapToGrid w:val="0"/>
        <w:spacing w:line="360" w:lineRule="auto"/>
        <w:ind w:firstLine="480" w:firstLineChars="200"/>
        <w:rPr>
          <w:rFonts w:ascii="宋体" w:hAnsi="宋体"/>
          <w:bCs/>
          <w:sz w:val="24"/>
        </w:rPr>
      </w:pPr>
      <w:r>
        <w:rPr>
          <w:rFonts w:hint="eastAsia" w:ascii="宋体" w:hAnsi="宋体"/>
          <w:bCs/>
          <w:sz w:val="24"/>
        </w:rPr>
        <w:t>根据标的指数，结合研究报告和基金组合的构建情况，采用被动式指数化投资的方法构建股票组合。</w:t>
      </w:r>
    </w:p>
    <w:p>
      <w:pPr>
        <w:adjustRightInd w:val="0"/>
        <w:snapToGrid w:val="0"/>
        <w:spacing w:line="360" w:lineRule="auto"/>
        <w:ind w:firstLine="480" w:firstLineChars="200"/>
        <w:rPr>
          <w:rFonts w:ascii="宋体" w:hAnsi="宋体"/>
          <w:bCs/>
          <w:sz w:val="24"/>
        </w:rPr>
      </w:pPr>
      <w:r>
        <w:rPr>
          <w:rFonts w:hint="eastAsia" w:ascii="宋体" w:hAnsi="宋体"/>
          <w:bCs/>
          <w:sz w:val="24"/>
        </w:rPr>
        <w:t>2、股票组合构建方法</w:t>
      </w:r>
    </w:p>
    <w:p>
      <w:pPr>
        <w:adjustRightInd w:val="0"/>
        <w:snapToGrid w:val="0"/>
        <w:spacing w:line="360" w:lineRule="auto"/>
        <w:ind w:firstLine="480" w:firstLineChars="200"/>
        <w:rPr>
          <w:rFonts w:ascii="宋体" w:hAnsi="宋体"/>
          <w:bCs/>
          <w:sz w:val="24"/>
        </w:rPr>
      </w:pPr>
      <w:r>
        <w:rPr>
          <w:rFonts w:hint="eastAsia" w:ascii="宋体" w:hAnsi="宋体"/>
          <w:bCs/>
          <w:sz w:val="24"/>
        </w:rPr>
        <w:t>本基金将以追求跟踪误差最小化进行标的指数成份股和备选成份股的投资。本基金采用被动式指数化投资的方法，根据标的指数成份股的构成及权重构建股票投资组合。如有因受成份股停牌、成份股流动性不足或其它一些影响指数复制的市场因素的限制，基金管理人可以根据市场情况，结合经验判断，对股票组合管理进行适当变通和调整，以更紧密的跟踪标的指数。</w:t>
      </w:r>
    </w:p>
    <w:p>
      <w:pPr>
        <w:adjustRightInd w:val="0"/>
        <w:snapToGrid w:val="0"/>
        <w:spacing w:line="360" w:lineRule="auto"/>
        <w:ind w:firstLine="480" w:firstLineChars="200"/>
        <w:rPr>
          <w:rFonts w:ascii="宋体" w:hAnsi="宋体"/>
          <w:bCs/>
          <w:sz w:val="24"/>
        </w:rPr>
      </w:pPr>
      <w:r>
        <w:rPr>
          <w:rFonts w:hint="eastAsia" w:ascii="宋体" w:hAnsi="宋体"/>
          <w:bCs/>
          <w:sz w:val="24"/>
        </w:rPr>
        <w:t>3、股票组合的调整</w:t>
      </w:r>
    </w:p>
    <w:p>
      <w:pPr>
        <w:adjustRightInd w:val="0"/>
        <w:snapToGrid w:val="0"/>
        <w:spacing w:line="360" w:lineRule="auto"/>
        <w:ind w:firstLine="480" w:firstLineChars="200"/>
        <w:rPr>
          <w:rFonts w:ascii="宋体" w:hAnsi="宋体"/>
          <w:bCs/>
          <w:sz w:val="24"/>
        </w:rPr>
      </w:pPr>
      <w:r>
        <w:rPr>
          <w:rFonts w:hint="eastAsia" w:ascii="宋体" w:hAnsi="宋体"/>
          <w:bCs/>
          <w:sz w:val="24"/>
        </w:rPr>
        <w:t>（1）定期调整</w:t>
      </w:r>
    </w:p>
    <w:p>
      <w:pPr>
        <w:adjustRightInd w:val="0"/>
        <w:snapToGrid w:val="0"/>
        <w:spacing w:line="360" w:lineRule="auto"/>
        <w:ind w:firstLine="480" w:firstLineChars="200"/>
        <w:rPr>
          <w:rFonts w:ascii="宋体" w:hAnsi="宋体"/>
          <w:bCs/>
          <w:sz w:val="24"/>
        </w:rPr>
      </w:pPr>
      <w:r>
        <w:rPr>
          <w:rFonts w:hint="eastAsia" w:ascii="宋体" w:hAnsi="宋体"/>
          <w:bCs/>
          <w:sz w:val="24"/>
        </w:rPr>
        <w:t>本基金所构建的股票组合将根据所跟踪的标的指数对其成份股的调整而进行相应的定期跟踪调整。</w:t>
      </w:r>
    </w:p>
    <w:p>
      <w:pPr>
        <w:adjustRightInd w:val="0"/>
        <w:snapToGrid w:val="0"/>
        <w:spacing w:line="360" w:lineRule="auto"/>
        <w:ind w:firstLine="480" w:firstLineChars="200"/>
        <w:rPr>
          <w:rFonts w:ascii="宋体" w:hAnsi="宋体"/>
          <w:bCs/>
          <w:sz w:val="24"/>
        </w:rPr>
      </w:pPr>
      <w:r>
        <w:rPr>
          <w:rFonts w:hint="eastAsia" w:ascii="宋体" w:hAnsi="宋体"/>
          <w:bCs/>
          <w:sz w:val="24"/>
        </w:rPr>
        <w:t>（2）不定期调整</w:t>
      </w:r>
    </w:p>
    <w:p>
      <w:pPr>
        <w:adjustRightInd w:val="0"/>
        <w:snapToGrid w:val="0"/>
        <w:spacing w:line="360" w:lineRule="auto"/>
        <w:ind w:firstLine="480" w:firstLineChars="200"/>
        <w:rPr>
          <w:rFonts w:ascii="宋体" w:hAnsi="宋体"/>
          <w:bCs/>
          <w:sz w:val="24"/>
        </w:rPr>
      </w:pPr>
      <w:r>
        <w:rPr>
          <w:rFonts w:hint="eastAsia" w:ascii="宋体" w:hAnsi="宋体"/>
          <w:bCs/>
          <w:sz w:val="24"/>
        </w:rPr>
        <w:t>基金经理将跟踪标的指数变动，基金组合跟踪偏离度情况，结合成份股基本面情况、流动性状况、基金申购和赎回的现金流量情况以及组合投资绩效评估的结果，对投资组合进行监控和调整，密切跟踪标的指数。</w:t>
      </w:r>
    </w:p>
    <w:p>
      <w:pPr>
        <w:adjustRightInd w:val="0"/>
        <w:snapToGrid w:val="0"/>
        <w:spacing w:line="360" w:lineRule="auto"/>
        <w:ind w:firstLine="480" w:firstLineChars="200"/>
        <w:rPr>
          <w:rFonts w:ascii="宋体" w:hAnsi="宋体"/>
          <w:bCs/>
          <w:sz w:val="24"/>
        </w:rPr>
      </w:pPr>
      <w:r>
        <w:rPr>
          <w:rFonts w:hint="eastAsia" w:ascii="宋体" w:hAnsi="宋体"/>
          <w:bCs/>
          <w:sz w:val="24"/>
        </w:rPr>
        <w:t>本基金在综合考虑预期收益、风险、流动性等因素的基础上，根据审慎原则合理参与存托凭证的投资，以更好地跟踪标的指数，追求跟踪偏离度和跟踪误差的最小化。</w:t>
      </w:r>
    </w:p>
    <w:p>
      <w:pPr>
        <w:adjustRightInd w:val="0"/>
        <w:snapToGrid w:val="0"/>
        <w:spacing w:line="360" w:lineRule="auto"/>
        <w:ind w:firstLine="480" w:firstLineChars="200"/>
        <w:rPr>
          <w:rFonts w:ascii="宋体" w:hAnsi="宋体"/>
          <w:bCs/>
          <w:sz w:val="24"/>
        </w:rPr>
      </w:pPr>
      <w:r>
        <w:rPr>
          <w:rFonts w:hint="eastAsia" w:ascii="宋体" w:hAnsi="宋体"/>
          <w:bCs/>
          <w:sz w:val="24"/>
        </w:rPr>
        <w:t>（四）债券投资策略</w:t>
      </w:r>
    </w:p>
    <w:p>
      <w:pPr>
        <w:adjustRightInd w:val="0"/>
        <w:snapToGrid w:val="0"/>
        <w:spacing w:line="360" w:lineRule="auto"/>
        <w:ind w:firstLine="480" w:firstLineChars="200"/>
        <w:rPr>
          <w:rFonts w:ascii="宋体" w:hAnsi="宋体"/>
          <w:bCs/>
          <w:sz w:val="24"/>
        </w:rPr>
      </w:pPr>
      <w:r>
        <w:rPr>
          <w:rFonts w:hint="eastAsia" w:ascii="宋体" w:hAnsi="宋体"/>
          <w:bCs/>
          <w:sz w:val="24"/>
        </w:rPr>
        <w:t>本基金将通过自上而下的宏观分析，结合对金融货币政策和利率趋势的判断确定债券投资组合的债券类别配置，并根据对个券相对价值的比较，进行个券选择和配置。债券投资的主要目的是保证基金资产的流动性，有效利用基金资产。</w:t>
      </w:r>
    </w:p>
    <w:p>
      <w:pPr>
        <w:adjustRightInd w:val="0"/>
        <w:snapToGrid w:val="0"/>
        <w:spacing w:line="360" w:lineRule="auto"/>
        <w:ind w:firstLine="480" w:firstLineChars="200"/>
        <w:rPr>
          <w:rFonts w:ascii="宋体" w:hAnsi="宋体"/>
          <w:bCs/>
          <w:sz w:val="24"/>
        </w:rPr>
      </w:pPr>
      <w:r>
        <w:rPr>
          <w:rFonts w:hint="eastAsia" w:ascii="宋体" w:hAnsi="宋体"/>
          <w:bCs/>
          <w:sz w:val="24"/>
        </w:rPr>
        <w:t>（五）可转换公司债券</w:t>
      </w:r>
      <w:r>
        <w:rPr>
          <w:bCs/>
          <w:sz w:val="24"/>
        </w:rPr>
        <w:t>（含分离交易可转换公司债券）</w:t>
      </w:r>
      <w:r>
        <w:rPr>
          <w:rFonts w:hint="eastAsia" w:ascii="宋体" w:hAnsi="宋体"/>
          <w:bCs/>
          <w:sz w:val="24"/>
        </w:rPr>
        <w:t>及可交换债券的投资策略</w:t>
      </w:r>
    </w:p>
    <w:p>
      <w:pPr>
        <w:adjustRightInd w:val="0"/>
        <w:snapToGrid w:val="0"/>
        <w:spacing w:line="360" w:lineRule="auto"/>
        <w:ind w:firstLine="480" w:firstLineChars="200"/>
        <w:rPr>
          <w:rFonts w:ascii="宋体" w:hAnsi="宋体"/>
          <w:bCs/>
          <w:sz w:val="24"/>
        </w:rPr>
      </w:pPr>
      <w:r>
        <w:rPr>
          <w:rFonts w:hint="eastAsia" w:ascii="宋体" w:hAnsi="宋体"/>
          <w:bCs/>
          <w:sz w:val="24"/>
        </w:rPr>
        <w:t>可转换公司债券等投资品种通过赋予债券投资者某种期权的形式，兼具债券属性与权益属性，风险收益特征更加独特，相应的投资策略灵活多样。本基金将充分利用该类投资品种的特性，研究挖掘其投资价值，债券价值方面综合考虑票面利率、久期、信用资质、发行主体财务状况、行业特征及公司治理等因素；权益价值方面通过对可转换公司债券所对应个股的价值分析，包括估值水平、盈利能力及预期、短期题材特征等。此外，还需结合对含权条款的研究，以衍生品量化视角综合判断内含的期权价值。</w:t>
      </w:r>
    </w:p>
    <w:p>
      <w:pPr>
        <w:adjustRightInd w:val="0"/>
        <w:snapToGrid w:val="0"/>
        <w:spacing w:line="360" w:lineRule="auto"/>
        <w:ind w:firstLine="480" w:firstLineChars="200"/>
        <w:rPr>
          <w:rFonts w:ascii="宋体" w:hAnsi="宋体"/>
          <w:bCs/>
          <w:sz w:val="24"/>
        </w:rPr>
      </w:pPr>
      <w:r>
        <w:rPr>
          <w:rFonts w:hint="eastAsia" w:ascii="宋体" w:hAnsi="宋体"/>
          <w:bCs/>
          <w:sz w:val="24"/>
        </w:rPr>
        <w:t>可交换债券与可转换公司债券的区别在于换股期间用于交换的股票并非自身新发的股票，而是发行人持有的其他上市公司的股票。可交换债券同样具有债券属性和权益属性，其中债券属性与可转换公司债券相同，即选择持有可交换债券至到期以获取票面价值和票面利息；而对于权益属性的分析则需关注目标公司的股票价值以及发行人作为股东的换股意愿等。本基金将通过对目标公司股票的投资价值、可交换债券的债券价值以及条款带来的期权价值等综合分析，进行投资决策。</w:t>
      </w:r>
    </w:p>
    <w:p>
      <w:pPr>
        <w:adjustRightInd w:val="0"/>
        <w:snapToGrid w:val="0"/>
        <w:spacing w:line="360" w:lineRule="auto"/>
        <w:ind w:firstLine="480" w:firstLineChars="200"/>
        <w:rPr>
          <w:rFonts w:ascii="宋体" w:hAnsi="宋体"/>
          <w:bCs/>
          <w:sz w:val="24"/>
        </w:rPr>
      </w:pPr>
      <w:r>
        <w:rPr>
          <w:rFonts w:hint="eastAsia" w:ascii="宋体" w:hAnsi="宋体"/>
          <w:bCs/>
          <w:sz w:val="24"/>
        </w:rPr>
        <w:t>（六）金融衍生品投资策略</w:t>
      </w:r>
    </w:p>
    <w:p>
      <w:pPr>
        <w:adjustRightInd w:val="0"/>
        <w:snapToGrid w:val="0"/>
        <w:spacing w:line="360" w:lineRule="auto"/>
        <w:ind w:firstLine="480" w:firstLineChars="200"/>
        <w:rPr>
          <w:rFonts w:ascii="宋体" w:hAnsi="宋体"/>
          <w:bCs/>
          <w:sz w:val="24"/>
        </w:rPr>
      </w:pPr>
      <w:r>
        <w:rPr>
          <w:rFonts w:hint="eastAsia" w:ascii="宋体" w:hAnsi="宋体"/>
          <w:bCs/>
          <w:sz w:val="24"/>
        </w:rPr>
        <w:t>为提高投资效率，使得基金的投资组合更紧密地跟踪标的指数，更好地实现本基金的投资目标，本基金可投资于经中国证监会允许的股票期权、股指期货。</w:t>
      </w:r>
    </w:p>
    <w:p>
      <w:pPr>
        <w:adjustRightInd w:val="0"/>
        <w:snapToGrid w:val="0"/>
        <w:spacing w:line="360" w:lineRule="auto"/>
        <w:ind w:firstLine="480" w:firstLineChars="200"/>
        <w:rPr>
          <w:rFonts w:ascii="宋体" w:hAnsi="宋体"/>
          <w:bCs/>
          <w:sz w:val="24"/>
        </w:rPr>
      </w:pPr>
      <w:r>
        <w:rPr>
          <w:rFonts w:hint="eastAsia" w:ascii="宋体" w:hAnsi="宋体"/>
          <w:bCs/>
          <w:sz w:val="24"/>
        </w:rPr>
        <w:t>1、股指期货投资策略</w:t>
      </w:r>
    </w:p>
    <w:p>
      <w:pPr>
        <w:adjustRightInd w:val="0"/>
        <w:snapToGrid w:val="0"/>
        <w:spacing w:line="360" w:lineRule="auto"/>
        <w:ind w:firstLine="480" w:firstLineChars="200"/>
        <w:rPr>
          <w:rFonts w:ascii="宋体" w:hAnsi="宋体"/>
          <w:bCs/>
          <w:sz w:val="24"/>
        </w:rPr>
      </w:pPr>
      <w:r>
        <w:rPr>
          <w:rFonts w:hint="eastAsia" w:ascii="宋体" w:hAnsi="宋体"/>
          <w:bCs/>
          <w:sz w:val="24"/>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pPr>
        <w:adjustRightInd w:val="0"/>
        <w:snapToGrid w:val="0"/>
        <w:spacing w:line="360" w:lineRule="auto"/>
        <w:ind w:firstLine="480" w:firstLineChars="200"/>
        <w:rPr>
          <w:rFonts w:ascii="宋体" w:hAnsi="宋体"/>
          <w:bCs/>
          <w:sz w:val="24"/>
        </w:rPr>
      </w:pPr>
      <w:r>
        <w:rPr>
          <w:rFonts w:hint="eastAsia" w:ascii="宋体" w:hAnsi="宋体"/>
          <w:bCs/>
          <w:sz w:val="24"/>
        </w:rPr>
        <w:t>2、股票期权投资策略</w:t>
      </w:r>
    </w:p>
    <w:p>
      <w:pPr>
        <w:adjustRightInd w:val="0"/>
        <w:snapToGrid w:val="0"/>
        <w:spacing w:line="360" w:lineRule="auto"/>
        <w:ind w:firstLine="480" w:firstLineChars="200"/>
        <w:rPr>
          <w:rFonts w:ascii="宋体" w:hAnsi="宋体"/>
          <w:bCs/>
          <w:sz w:val="24"/>
        </w:rPr>
      </w:pPr>
      <w:r>
        <w:rPr>
          <w:rFonts w:hint="eastAsia" w:ascii="宋体" w:hAnsi="宋体"/>
          <w:bCs/>
          <w:sz w:val="24"/>
        </w:rPr>
        <w:t>本基金将按照风险管理的原则，以套期保值为主要目的参与股票期权交易。本基金将结合投资目标、比例限制、风险收益特征以及法律法规的相关限定和要求，确定参与股票期权交易的投资时机和投资比例。</w:t>
      </w:r>
    </w:p>
    <w:p>
      <w:pPr>
        <w:adjustRightInd w:val="0"/>
        <w:snapToGrid w:val="0"/>
        <w:spacing w:line="360" w:lineRule="auto"/>
        <w:ind w:firstLine="480" w:firstLineChars="200"/>
        <w:rPr>
          <w:rFonts w:ascii="宋体" w:hAnsi="宋体"/>
          <w:bCs/>
          <w:sz w:val="24"/>
        </w:rPr>
      </w:pPr>
      <w:r>
        <w:rPr>
          <w:rFonts w:hint="eastAsia" w:ascii="宋体" w:hAnsi="宋体"/>
          <w:bCs/>
          <w:sz w:val="24"/>
        </w:rPr>
        <w:t>（七）资产支持证券投资策略</w:t>
      </w:r>
    </w:p>
    <w:p>
      <w:pPr>
        <w:adjustRightInd w:val="0"/>
        <w:snapToGrid w:val="0"/>
        <w:spacing w:line="360" w:lineRule="auto"/>
        <w:ind w:firstLine="480" w:firstLineChars="200"/>
        <w:rPr>
          <w:rFonts w:ascii="宋体" w:hAnsi="宋体"/>
          <w:bCs/>
          <w:sz w:val="24"/>
        </w:rPr>
      </w:pPr>
      <w:r>
        <w:rPr>
          <w:rFonts w:hint="eastAsia" w:ascii="宋体" w:hAnsi="宋体"/>
          <w:bCs/>
          <w:sz w:val="24"/>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蒙特卡洛方法等数量化定价模型，评估其内在价值。</w:t>
      </w:r>
    </w:p>
    <w:p>
      <w:pPr>
        <w:adjustRightInd w:val="0"/>
        <w:snapToGrid w:val="0"/>
        <w:spacing w:line="360" w:lineRule="auto"/>
        <w:ind w:firstLine="480" w:firstLineChars="200"/>
        <w:rPr>
          <w:rFonts w:ascii="宋体" w:hAnsi="宋体"/>
          <w:bCs/>
          <w:sz w:val="24"/>
        </w:rPr>
      </w:pPr>
      <w:r>
        <w:rPr>
          <w:rFonts w:hint="eastAsia" w:ascii="宋体" w:hAnsi="宋体"/>
          <w:bCs/>
          <w:sz w:val="24"/>
        </w:rPr>
        <w:t>（八）参与融资及转融通证券出借业务策略</w:t>
      </w:r>
    </w:p>
    <w:p>
      <w:pPr>
        <w:tabs>
          <w:tab w:val="center" w:pos="4393"/>
        </w:tabs>
        <w:adjustRightInd w:val="0"/>
        <w:snapToGrid w:val="0"/>
        <w:spacing w:line="360" w:lineRule="auto"/>
        <w:ind w:firstLine="480" w:firstLineChars="200"/>
        <w:rPr>
          <w:rFonts w:ascii="宋体" w:hAnsi="宋体"/>
          <w:bCs/>
          <w:sz w:val="24"/>
        </w:rPr>
      </w:pPr>
      <w:r>
        <w:rPr>
          <w:rFonts w:hint="eastAsia" w:ascii="宋体" w:hAnsi="宋体"/>
          <w:bCs/>
          <w:sz w:val="24"/>
        </w:rPr>
        <w:t>为更好的实现投资目标，在加强风险防范并遵守审慎性原则的前提下，本基金可根据投资管理的需要参与融资及转融通证券出借业务。本基金将在分析市场情况、投资者类型与结构、基金历史申赎情况及出借证券流动性情况等因素的基础上，合理确定出借证券的范围、证券出借平均剩余期限和出借证券在基金资产中的占比。</w:t>
      </w:r>
    </w:p>
    <w:p>
      <w:pPr>
        <w:tabs>
          <w:tab w:val="center" w:pos="4393"/>
        </w:tabs>
        <w:adjustRightInd w:val="0"/>
        <w:snapToGrid w:val="0"/>
        <w:spacing w:line="360" w:lineRule="auto"/>
        <w:ind w:firstLine="480" w:firstLineChars="200"/>
        <w:rPr>
          <w:rFonts w:ascii="宋体" w:hAnsi="宋体"/>
          <w:bCs/>
          <w:sz w:val="24"/>
        </w:rPr>
      </w:pPr>
      <w:r>
        <w:rPr>
          <w:rFonts w:ascii="宋体" w:hAnsi="宋体"/>
          <w:bCs/>
          <w:sz w:val="24"/>
        </w:rPr>
        <w:t>四、投资限制</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（一）组合限制</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基金的投资组合应遵循以下限制：</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1、本基金持有的目标ETF的比例不得低于基金资产净值的90%；</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2、每个交易日日终在扣除股指期货合约、股票期权合约需缴纳的交易保证金后，保持不低于基金资产净值5%的现金或者到期日在一年以内的政府债券，其中现金不包括结算备付金、存出保证金和应收申购款等；</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3、本基金投资于股指期货，需遵循以下投资比例限制：</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在任何交易日日终，持有的买入股指期货合约价值，不得超过基金资产净值的10%；在任何交易日日终，持有的买入期货合约价值与有价证券市值之和，不得超过基金资产净值的100%，其中，有价证券指股票、目标ETF、债券（不含到期日在一年以内的政府债券）、资产支持证券、买入返售金融资产（不含质押式回购）等；基金在任何交易日日终，持有的卖出期货合约价值不得超过基金持有的股票和目标ETF总市值的20%；本基金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4、本基金参与股票期权交易，需遵守下列投资比例限制：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5、基金财产参与股票发行申购，本基金所申报的金额不超过本基金的总资产，本基金所申报的股票数量不超过拟发行股票公司本次发行股票的总量；</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6、本基金资产总值不超过基金资产净值的140%；</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8、本基金与私募类证券资管产品及中国证监会认定的其他主体为交易对手开展逆回购交易的，可接受质押品的资质要求应当与基金合同约定的投资范围保持一致；</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9、本基金参与融资的，每个交易日日终，本基金持有的融资买入股票与其他有价证券市值之和，不得超过基金资产净值的95%；</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10、本基金参与转融通证券出借业务的，应当符合下列要求：</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（1）参与转融通证券出借业务的资产，不得超过基金资产净值的30%，其中，出借期限在10个交易日以上的出借证券，纳入《流动性风险管理规定》所述流动性受限证券的范围；</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（2）参与转融通证券出借业务的单只证券不得超过基金持有该证券总量的50%；</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（3）最近6个月内日均基金资产净值不得低于2亿元；</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（4）证券出借的平均剩余期限不得超过30天，平均剩余期限按照市值加权平均计算；</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11、本基金投资于同一原始权益人的各类资产支持证券的比例，不得超过基金资产净值的10%；本基金持有的全部资产支持证券，其市值不得超过基金资产净值的20%，中国证监会规定的特殊品种除外；</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12、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13、本基金应投资于信用级别评级为BBB以上（含BBB）的资产支持证券。基金持有资产支持证券期间，如果其信用等级下降、不再符合投资标准，应在评级报告发布之日起3个月内予以全部卖出；</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14、本基金投资存托凭证的比例限制依照境内上市交易的股票执行，与境内上市交易的股票合并计算；</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15、法律法规及中国证监会规定的和《基金合同》约定的其他投资限制。</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除上述1、2、7、8、10、13项情形之外，因证券市场及期货市场波动、证券发行人合并、基金规模变动、标的指数成份股调整、标的指数成份股流动性限制、目标ETF暂停申购、赎回或二级市场交易停牌等基金管理人之外的因素致使基金投资比例不符合上述规定投资比例的，基金管理人应当在10个交易日内进行调整，但中国证监会规定的特殊情形除外。因证券市场及期货市场波动、证券发行人合并、基金规模变动、标的指数成份股调整、标的指数成份股流动性限制、目标ETF暂停申购、赎回或二级市场交易停牌等基金管理人之外的因素致使基金持有的目标ETF的比例低于基金资产净值的90%的，基金管理人应当在20个交易日内进行调整，但中国证监会规定的特殊情形除外。法律法规另有规定的，从其规定。</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因证券市场波动、上市公司合并、基金规模变动等基金管理人之外的因素致使基金投资不符合上述第10项的，基金管理人不得新增出借业务。</w:t>
      </w:r>
    </w:p>
    <w:p>
      <w:pPr>
        <w:tabs>
          <w:tab w:val="center" w:pos="4393"/>
        </w:tabs>
        <w:adjustRightInd w:val="0"/>
        <w:snapToGrid w:val="0"/>
        <w:spacing w:line="360" w:lineRule="auto"/>
        <w:ind w:firstLine="480" w:firstLineChars="200"/>
        <w:rPr>
          <w:rFonts w:ascii="宋体" w:hAnsi="宋体"/>
          <w:sz w:val="24"/>
        </w:rPr>
      </w:pPr>
      <w:r>
        <w:rPr>
          <w:rFonts w:hint="eastAsia"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pPr>
        <w:adjustRightInd w:val="0"/>
        <w:snapToGrid w:val="0"/>
        <w:spacing w:line="360" w:lineRule="auto"/>
        <w:ind w:firstLine="480" w:firstLineChars="200"/>
        <w:rPr>
          <w:rFonts w:ascii="宋体" w:hAnsi="宋体"/>
          <w:sz w:val="24"/>
        </w:rPr>
      </w:pPr>
      <w:r>
        <w:rPr>
          <w:rFonts w:hint="eastAsia" w:ascii="宋体" w:hAnsi="宋体"/>
          <w:sz w:val="24"/>
        </w:rPr>
        <w:t>法律法规或监管部门取消或变更上述限制，如适用于本基金，基金管理人在履行适当程序后，则本基金投资不再受相关限制或以变更后的规定为准。</w:t>
      </w:r>
    </w:p>
    <w:p>
      <w:pPr>
        <w:adjustRightInd w:val="0"/>
        <w:snapToGrid w:val="0"/>
        <w:spacing w:line="360" w:lineRule="auto"/>
        <w:ind w:firstLine="480" w:firstLineChars="200"/>
        <w:rPr>
          <w:rFonts w:ascii="宋体" w:hAnsi="宋体"/>
          <w:bCs/>
          <w:sz w:val="24"/>
        </w:rPr>
      </w:pPr>
      <w:r>
        <w:rPr>
          <w:rFonts w:hint="eastAsia" w:ascii="宋体" w:hAnsi="宋体"/>
          <w:bCs/>
          <w:sz w:val="24"/>
        </w:rPr>
        <w:t>（二）禁止行为</w:t>
      </w:r>
    </w:p>
    <w:p>
      <w:pPr>
        <w:adjustRightInd w:val="0"/>
        <w:snapToGrid w:val="0"/>
        <w:spacing w:line="360" w:lineRule="auto"/>
        <w:ind w:firstLine="480" w:firstLineChars="200"/>
        <w:rPr>
          <w:rFonts w:ascii="宋体" w:hAnsi="宋体"/>
          <w:bCs/>
          <w:sz w:val="24"/>
        </w:rPr>
      </w:pPr>
      <w:r>
        <w:rPr>
          <w:rFonts w:hint="eastAsia" w:ascii="宋体" w:hAnsi="宋体"/>
          <w:bCs/>
          <w:sz w:val="24"/>
        </w:rPr>
        <w:t>为维护基金份额持有人的合法权益，基金财产不得用于下列投资或者活动：</w:t>
      </w:r>
    </w:p>
    <w:p>
      <w:pPr>
        <w:adjustRightInd w:val="0"/>
        <w:snapToGrid w:val="0"/>
        <w:spacing w:line="360" w:lineRule="auto"/>
        <w:ind w:firstLine="480" w:firstLineChars="200"/>
        <w:rPr>
          <w:rFonts w:ascii="宋体" w:hAnsi="宋体"/>
          <w:bCs/>
          <w:sz w:val="24"/>
        </w:rPr>
      </w:pPr>
      <w:r>
        <w:rPr>
          <w:rFonts w:hint="eastAsia" w:ascii="宋体" w:hAnsi="宋体"/>
          <w:bCs/>
          <w:sz w:val="24"/>
        </w:rPr>
        <w:t>（1）承销证券；</w:t>
      </w:r>
    </w:p>
    <w:p>
      <w:pPr>
        <w:adjustRightInd w:val="0"/>
        <w:snapToGrid w:val="0"/>
        <w:spacing w:line="360" w:lineRule="auto"/>
        <w:ind w:firstLine="480" w:firstLineChars="200"/>
        <w:rPr>
          <w:rFonts w:ascii="宋体" w:hAnsi="宋体"/>
          <w:bCs/>
          <w:sz w:val="24"/>
        </w:rPr>
      </w:pPr>
      <w:r>
        <w:rPr>
          <w:rFonts w:hint="eastAsia" w:ascii="宋体" w:hAnsi="宋体"/>
          <w:bCs/>
          <w:sz w:val="24"/>
        </w:rPr>
        <w:t>（2）违反规定向他人贷款或者提供担保；</w:t>
      </w:r>
    </w:p>
    <w:p>
      <w:pPr>
        <w:adjustRightInd w:val="0"/>
        <w:snapToGrid w:val="0"/>
        <w:spacing w:line="360" w:lineRule="auto"/>
        <w:ind w:firstLine="480" w:firstLineChars="200"/>
        <w:rPr>
          <w:rFonts w:ascii="宋体" w:hAnsi="宋体"/>
          <w:bCs/>
          <w:sz w:val="24"/>
        </w:rPr>
      </w:pPr>
      <w:r>
        <w:rPr>
          <w:rFonts w:hint="eastAsia" w:ascii="宋体" w:hAnsi="宋体"/>
          <w:bCs/>
          <w:sz w:val="24"/>
        </w:rPr>
        <w:t>（3）从事承担无限责任的投资；</w:t>
      </w:r>
    </w:p>
    <w:p>
      <w:pPr>
        <w:adjustRightInd w:val="0"/>
        <w:snapToGrid w:val="0"/>
        <w:spacing w:line="360" w:lineRule="auto"/>
        <w:ind w:firstLine="480" w:firstLineChars="200"/>
        <w:rPr>
          <w:rFonts w:ascii="宋体" w:hAnsi="宋体"/>
          <w:bCs/>
          <w:sz w:val="24"/>
        </w:rPr>
      </w:pPr>
      <w:r>
        <w:rPr>
          <w:rFonts w:hint="eastAsia" w:ascii="宋体" w:hAnsi="宋体"/>
          <w:bCs/>
          <w:sz w:val="24"/>
        </w:rPr>
        <w:t>（4）买卖除目标ETF以外的其他基金份额，但是中国证监会另有规定的除外；</w:t>
      </w:r>
    </w:p>
    <w:p>
      <w:pPr>
        <w:adjustRightInd w:val="0"/>
        <w:snapToGrid w:val="0"/>
        <w:spacing w:line="360" w:lineRule="auto"/>
        <w:ind w:firstLine="480" w:firstLineChars="200"/>
        <w:rPr>
          <w:rFonts w:ascii="宋体" w:hAnsi="宋体"/>
          <w:bCs/>
          <w:sz w:val="24"/>
        </w:rPr>
      </w:pPr>
      <w:r>
        <w:rPr>
          <w:rFonts w:hint="eastAsia" w:ascii="宋体" w:hAnsi="宋体"/>
          <w:bCs/>
          <w:sz w:val="24"/>
        </w:rPr>
        <w:t>（5）向其基金管理人、基金托管人出资；</w:t>
      </w:r>
    </w:p>
    <w:p>
      <w:pPr>
        <w:adjustRightInd w:val="0"/>
        <w:snapToGrid w:val="0"/>
        <w:spacing w:line="360" w:lineRule="auto"/>
        <w:ind w:firstLine="480" w:firstLineChars="200"/>
        <w:rPr>
          <w:rFonts w:ascii="宋体" w:hAnsi="宋体"/>
          <w:bCs/>
          <w:sz w:val="24"/>
        </w:rPr>
      </w:pPr>
      <w:r>
        <w:rPr>
          <w:rFonts w:hint="eastAsia" w:ascii="宋体" w:hAnsi="宋体"/>
          <w:bCs/>
          <w:sz w:val="24"/>
        </w:rPr>
        <w:t>（6）从事内幕交易、操纵证券交易价格及其他不正当的证券交易活动；</w:t>
      </w:r>
    </w:p>
    <w:p>
      <w:pPr>
        <w:adjustRightInd w:val="0"/>
        <w:snapToGrid w:val="0"/>
        <w:spacing w:line="360" w:lineRule="auto"/>
        <w:ind w:firstLine="480" w:firstLineChars="200"/>
        <w:rPr>
          <w:rFonts w:ascii="宋体" w:hAnsi="宋体"/>
          <w:bCs/>
          <w:sz w:val="24"/>
        </w:rPr>
      </w:pPr>
      <w:r>
        <w:rPr>
          <w:rFonts w:hint="eastAsia" w:ascii="宋体" w:hAnsi="宋体"/>
          <w:bCs/>
          <w:sz w:val="24"/>
        </w:rPr>
        <w:t>（7）法律、行政法规和中国证监会规定禁止的其他活动。</w:t>
      </w:r>
    </w:p>
    <w:p>
      <w:pPr>
        <w:adjustRightInd w:val="0"/>
        <w:snapToGrid w:val="0"/>
        <w:spacing w:line="360" w:lineRule="auto"/>
        <w:ind w:firstLine="480" w:firstLineChars="200"/>
        <w:rPr>
          <w:rFonts w:ascii="宋体" w:hAnsi="宋体"/>
          <w:bCs/>
          <w:sz w:val="24"/>
        </w:rPr>
      </w:pPr>
      <w:r>
        <w:rPr>
          <w:rFonts w:hint="eastAsia" w:ascii="宋体" w:hAnsi="宋体"/>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adjustRightInd w:val="0"/>
        <w:snapToGrid w:val="0"/>
        <w:spacing w:line="360" w:lineRule="auto"/>
        <w:ind w:firstLine="480" w:firstLineChars="200"/>
        <w:rPr>
          <w:rFonts w:ascii="宋体" w:hAnsi="宋体"/>
          <w:bCs/>
          <w:sz w:val="24"/>
        </w:rPr>
      </w:pPr>
      <w:r>
        <w:rPr>
          <w:rFonts w:hint="eastAsia" w:ascii="宋体" w:hAnsi="宋体"/>
          <w:bCs/>
          <w:sz w:val="24"/>
        </w:rPr>
        <w:t>如法律法规或监管部门取消或变更上述限制，如适用于本基金，基金管理人在履行适当程序后可不受上述规定的限制或以变更后的规定为准。</w:t>
      </w:r>
    </w:p>
    <w:p>
      <w:pPr>
        <w:adjustRightInd w:val="0"/>
        <w:snapToGrid w:val="0"/>
        <w:spacing w:line="360" w:lineRule="auto"/>
        <w:ind w:firstLine="480" w:firstLineChars="200"/>
        <w:rPr>
          <w:rFonts w:ascii="宋体" w:hAnsi="宋体"/>
          <w:bCs/>
          <w:sz w:val="24"/>
        </w:rPr>
      </w:pPr>
      <w:r>
        <w:rPr>
          <w:rFonts w:ascii="宋体" w:hAnsi="宋体"/>
          <w:bCs/>
          <w:sz w:val="24"/>
        </w:rPr>
        <w:t>五、业绩比较基准</w:t>
      </w:r>
    </w:p>
    <w:p>
      <w:pPr>
        <w:adjustRightInd w:val="0"/>
        <w:snapToGrid w:val="0"/>
        <w:spacing w:line="360" w:lineRule="auto"/>
        <w:ind w:firstLine="480" w:firstLineChars="200"/>
        <w:rPr>
          <w:rFonts w:ascii="宋体" w:hAnsi="宋体"/>
          <w:sz w:val="24"/>
        </w:rPr>
      </w:pPr>
      <w:r>
        <w:rPr>
          <w:rFonts w:hint="eastAsia" w:ascii="宋体" w:hAnsi="宋体"/>
          <w:sz w:val="24"/>
        </w:rPr>
        <w:t>本基金业绩比较基准为：中证A50指数收益率×95%+银行活期存款利率（税后）×5%。</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本基金以中证A50指数为标的指数，主要通过投资于目标ETF，紧密跟踪标的指数，本基金投资于目标ETF的比例不低于基金资产净值的90%，选用以上指数收益率作为本基金的业绩比较基准可以有效评估本基金投资组合业绩，反映本基金的风格特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自指数编制机构停止标的指数的编制及发布至解决方案确定期间，基金管理人应按照指数编制机构提供的最近一个交易日的指数信息遵循基金份额持有人利益优先原则维持基金投资运作。</w:t>
      </w:r>
    </w:p>
    <w:p>
      <w:pPr>
        <w:adjustRightInd w:val="0"/>
        <w:snapToGrid w:val="0"/>
        <w:spacing w:line="360" w:lineRule="auto"/>
        <w:ind w:firstLine="480" w:firstLineChars="200"/>
        <w:rPr>
          <w:rFonts w:ascii="宋体" w:hAnsi="宋体"/>
          <w:sz w:val="24"/>
        </w:rPr>
      </w:pPr>
      <w:r>
        <w:rPr>
          <w:rFonts w:hint="eastAsia" w:ascii="宋体" w:hAnsi="宋体" w:cs="宋体"/>
          <w:sz w:val="24"/>
        </w:rPr>
        <w:t>本基金标的指数变更的，基金业绩比较基准随之变更，由基金管理人根据标的指数变更情形履行适当程序后调整。</w:t>
      </w:r>
    </w:p>
    <w:p>
      <w:pPr>
        <w:adjustRightInd w:val="0"/>
        <w:snapToGrid w:val="0"/>
        <w:spacing w:line="360" w:lineRule="auto"/>
        <w:ind w:firstLine="480" w:firstLineChars="200"/>
        <w:rPr>
          <w:rFonts w:ascii="宋体" w:hAnsi="宋体"/>
          <w:sz w:val="24"/>
        </w:rPr>
      </w:pPr>
      <w:r>
        <w:rPr>
          <w:rFonts w:hint="eastAsia" w:ascii="宋体" w:hAnsi="宋体"/>
          <w:sz w:val="24"/>
        </w:rPr>
        <w:t>六、风险收益特征</w:t>
      </w:r>
    </w:p>
    <w:p>
      <w:pPr>
        <w:adjustRightInd w:val="0"/>
        <w:snapToGrid w:val="0"/>
        <w:spacing w:line="360" w:lineRule="auto"/>
        <w:ind w:firstLine="480" w:firstLineChars="200"/>
        <w:rPr>
          <w:rFonts w:ascii="宋体" w:hAnsi="宋体"/>
          <w:sz w:val="24"/>
        </w:rPr>
      </w:pPr>
      <w:r>
        <w:rPr>
          <w:rFonts w:hint="eastAsia" w:ascii="宋体" w:hAnsi="宋体"/>
          <w:sz w:val="24"/>
        </w:rPr>
        <w:t>本基金为ETF联接基金，预期风险与预期收益高于债券型基金与货币市场基金。本基金主要投资于目标ETF，紧密跟踪标的指数，具有与标的指数以及标的指数所代表的股票市场相似的风险收益特征。</w:t>
      </w:r>
    </w:p>
    <w:p>
      <w:pPr>
        <w:adjustRightInd w:val="0"/>
        <w:snapToGrid w:val="0"/>
        <w:spacing w:line="360" w:lineRule="auto"/>
        <w:ind w:firstLine="480" w:firstLineChars="200"/>
        <w:rPr>
          <w:rFonts w:ascii="宋体" w:hAnsi="宋体"/>
          <w:sz w:val="24"/>
        </w:rPr>
      </w:pPr>
      <w:r>
        <w:rPr>
          <w:rFonts w:hint="eastAsia" w:ascii="宋体" w:hAnsi="宋体"/>
          <w:sz w:val="24"/>
        </w:rPr>
        <w:t>七、基金管理人代表基金行使相关权利的处理原则及方法</w:t>
      </w:r>
    </w:p>
    <w:p>
      <w:pPr>
        <w:adjustRightInd w:val="0"/>
        <w:snapToGrid w:val="0"/>
        <w:spacing w:line="360" w:lineRule="auto"/>
        <w:ind w:firstLine="480" w:firstLineChars="200"/>
        <w:rPr>
          <w:rFonts w:ascii="宋体" w:hAnsi="宋体"/>
          <w:sz w:val="24"/>
        </w:rPr>
      </w:pPr>
      <w:r>
        <w:rPr>
          <w:rFonts w:hint="eastAsia" w:ascii="宋体" w:hAnsi="宋体"/>
          <w:sz w:val="24"/>
        </w:rPr>
        <w:t>1、基金管理人按照国家有关规定代表基金独立行使相关权利，保护基金份额持有人的利益；</w:t>
      </w:r>
    </w:p>
    <w:p>
      <w:pPr>
        <w:adjustRightInd w:val="0"/>
        <w:snapToGrid w:val="0"/>
        <w:spacing w:line="360" w:lineRule="auto"/>
        <w:ind w:firstLine="480" w:firstLineChars="200"/>
        <w:rPr>
          <w:rFonts w:ascii="宋体" w:hAnsi="宋体"/>
          <w:sz w:val="24"/>
        </w:rPr>
      </w:pPr>
      <w:r>
        <w:rPr>
          <w:rFonts w:hint="eastAsia" w:ascii="宋体" w:hAnsi="宋体"/>
          <w:sz w:val="24"/>
        </w:rPr>
        <w:t>2、不谋求对上市公司的控股；</w:t>
      </w:r>
    </w:p>
    <w:p>
      <w:pPr>
        <w:adjustRightInd w:val="0"/>
        <w:snapToGrid w:val="0"/>
        <w:spacing w:line="360" w:lineRule="auto"/>
        <w:ind w:firstLine="480" w:firstLineChars="200"/>
        <w:rPr>
          <w:rFonts w:ascii="宋体" w:hAnsi="宋体"/>
          <w:sz w:val="24"/>
        </w:rPr>
      </w:pPr>
      <w:r>
        <w:rPr>
          <w:rFonts w:hint="eastAsia" w:ascii="宋体" w:hAnsi="宋体"/>
          <w:sz w:val="24"/>
        </w:rPr>
        <w:t>3、有利于基金财产的安全与增值；</w:t>
      </w:r>
    </w:p>
    <w:p>
      <w:pPr>
        <w:adjustRightInd w:val="0"/>
        <w:snapToGrid w:val="0"/>
        <w:spacing w:line="360" w:lineRule="auto"/>
        <w:ind w:firstLine="480" w:firstLineChars="200"/>
        <w:rPr>
          <w:rFonts w:ascii="宋体" w:hAnsi="宋体"/>
          <w:sz w:val="24"/>
        </w:rPr>
      </w:pPr>
      <w:r>
        <w:rPr>
          <w:rFonts w:hint="eastAsia" w:ascii="宋体" w:hAnsi="宋体"/>
          <w:sz w:val="24"/>
        </w:rPr>
        <w:t>4、不通过关联交易为自身、雇员、授权代理人或任何存在利害关系的第三人牟取任何不当利益。</w:t>
      </w:r>
    </w:p>
    <w:p>
      <w:pPr>
        <w:adjustRightInd w:val="0"/>
        <w:snapToGrid w:val="0"/>
        <w:spacing w:line="360" w:lineRule="auto"/>
        <w:ind w:firstLine="480" w:firstLineChars="200"/>
        <w:rPr>
          <w:rFonts w:ascii="宋体" w:hAnsi="宋体"/>
          <w:sz w:val="24"/>
        </w:rPr>
      </w:pPr>
      <w:r>
        <w:rPr>
          <w:rFonts w:hint="eastAsia" w:ascii="宋体" w:hAnsi="宋体"/>
          <w:sz w:val="24"/>
        </w:rPr>
        <w:t>八、目标ETF发生相关变更情形时的处理</w:t>
      </w:r>
    </w:p>
    <w:p>
      <w:pPr>
        <w:adjustRightInd w:val="0"/>
        <w:snapToGrid w:val="0"/>
        <w:spacing w:line="360" w:lineRule="auto"/>
        <w:ind w:firstLine="480" w:firstLineChars="200"/>
        <w:rPr>
          <w:rFonts w:ascii="宋体" w:hAnsi="宋体"/>
          <w:sz w:val="24"/>
        </w:rPr>
      </w:pPr>
      <w:r>
        <w:rPr>
          <w:rFonts w:hint="eastAsia" w:ascii="宋体" w:hAnsi="宋体"/>
          <w:sz w:val="24"/>
        </w:rPr>
        <w:t>目标ETF出现下述情形之一的，本基金将由投资于目标ETF的联接基金变更为直接投资该标的指数的指数基金</w:t>
      </w:r>
      <w:r>
        <w:rPr>
          <w:rFonts w:hint="eastAsia" w:ascii="宋体" w:hAnsi="宋体" w:cs="宋体"/>
          <w:sz w:val="24"/>
        </w:rPr>
        <w:t>，无需召开基金份额持有人大会</w:t>
      </w:r>
      <w:r>
        <w:rPr>
          <w:rFonts w:hint="eastAsia" w:ascii="宋体" w:hAnsi="宋体"/>
          <w:sz w:val="24"/>
        </w:rPr>
        <w:t>；若届时本基金管理人已有以该指数作为标的指数的指数基金，则本基金将本着维护投资者合法权益的原则，在履行适当程序后，选取其他合适的指数作为标的指数。相应地，基金合同中将删除关于目标ETF的表述部分，或将变更标的指数，届时将由基金管理人另行公告。</w:t>
      </w:r>
    </w:p>
    <w:p>
      <w:pPr>
        <w:adjustRightInd w:val="0"/>
        <w:snapToGrid w:val="0"/>
        <w:spacing w:line="360" w:lineRule="auto"/>
        <w:ind w:firstLine="480" w:firstLineChars="200"/>
        <w:rPr>
          <w:rFonts w:ascii="宋体" w:hAnsi="宋体"/>
          <w:sz w:val="24"/>
        </w:rPr>
      </w:pPr>
      <w:r>
        <w:rPr>
          <w:rFonts w:hint="eastAsia" w:ascii="宋体" w:hAnsi="宋体"/>
          <w:sz w:val="24"/>
        </w:rPr>
        <w:t>（一）目标ETF交易方式发生重大变更致使本基金的投资策略难以实现；</w:t>
      </w:r>
    </w:p>
    <w:p>
      <w:pPr>
        <w:adjustRightInd w:val="0"/>
        <w:snapToGrid w:val="0"/>
        <w:spacing w:line="360" w:lineRule="auto"/>
        <w:ind w:firstLine="480" w:firstLineChars="200"/>
        <w:rPr>
          <w:rFonts w:ascii="宋体" w:hAnsi="宋体"/>
          <w:sz w:val="24"/>
        </w:rPr>
      </w:pPr>
      <w:r>
        <w:rPr>
          <w:rFonts w:hint="eastAsia" w:ascii="宋体" w:hAnsi="宋体"/>
          <w:sz w:val="24"/>
        </w:rPr>
        <w:t>（二）目标ETF终止上市；</w:t>
      </w:r>
    </w:p>
    <w:p>
      <w:pPr>
        <w:adjustRightInd w:val="0"/>
        <w:snapToGrid w:val="0"/>
        <w:spacing w:line="360" w:lineRule="auto"/>
        <w:ind w:firstLine="480" w:firstLineChars="200"/>
        <w:rPr>
          <w:rFonts w:ascii="宋体" w:hAnsi="宋体"/>
          <w:sz w:val="24"/>
        </w:rPr>
      </w:pPr>
      <w:r>
        <w:rPr>
          <w:rFonts w:hint="eastAsia" w:ascii="宋体" w:hAnsi="宋体"/>
          <w:sz w:val="24"/>
        </w:rPr>
        <w:t>（三）目标ETF基金合同终止；</w:t>
      </w:r>
    </w:p>
    <w:p>
      <w:pPr>
        <w:adjustRightInd w:val="0"/>
        <w:snapToGrid w:val="0"/>
        <w:spacing w:line="360" w:lineRule="auto"/>
        <w:ind w:firstLine="480" w:firstLineChars="200"/>
        <w:rPr>
          <w:rFonts w:ascii="宋体" w:hAnsi="宋体"/>
          <w:sz w:val="24"/>
        </w:rPr>
      </w:pPr>
      <w:r>
        <w:rPr>
          <w:rFonts w:hint="eastAsia" w:ascii="宋体" w:hAnsi="宋体"/>
          <w:sz w:val="24"/>
        </w:rPr>
        <w:t>（四）目标ETF的基金管理人发生变更（但变更后的本基金与目标ETF的基金管理人相同的除外）；</w:t>
      </w:r>
    </w:p>
    <w:p>
      <w:pPr>
        <w:adjustRightInd w:val="0"/>
        <w:snapToGrid w:val="0"/>
        <w:spacing w:line="360" w:lineRule="auto"/>
        <w:ind w:firstLine="480" w:firstLineChars="200"/>
        <w:rPr>
          <w:rFonts w:ascii="宋体" w:hAnsi="宋体"/>
          <w:sz w:val="24"/>
        </w:rPr>
      </w:pPr>
      <w:r>
        <w:rPr>
          <w:rFonts w:hint="eastAsia" w:ascii="宋体" w:hAnsi="宋体"/>
          <w:sz w:val="24"/>
        </w:rPr>
        <w:t>（五）目标ETF与其他基金进行合并；</w:t>
      </w:r>
    </w:p>
    <w:p>
      <w:pPr>
        <w:adjustRightInd w:val="0"/>
        <w:snapToGrid w:val="0"/>
        <w:spacing w:line="360" w:lineRule="auto"/>
        <w:ind w:firstLine="480" w:firstLineChars="200"/>
        <w:rPr>
          <w:rFonts w:ascii="宋体" w:hAnsi="宋体"/>
          <w:sz w:val="24"/>
        </w:rPr>
      </w:pPr>
      <w:r>
        <w:rPr>
          <w:rFonts w:hint="eastAsia" w:ascii="宋体" w:hAnsi="宋体"/>
          <w:sz w:val="24"/>
        </w:rPr>
        <w:t>（六）中国证监会规定的其他情形。</w:t>
      </w:r>
    </w:p>
    <w:p>
      <w:pPr>
        <w:adjustRightInd w:val="0"/>
        <w:snapToGrid w:val="0"/>
        <w:spacing w:line="360" w:lineRule="auto"/>
        <w:ind w:firstLine="480" w:firstLineChars="200"/>
        <w:rPr>
          <w:rFonts w:ascii="宋体" w:hAnsi="宋体"/>
          <w:sz w:val="24"/>
        </w:rPr>
      </w:pPr>
      <w:r>
        <w:rPr>
          <w:rFonts w:hint="eastAsia" w:ascii="宋体" w:hAnsi="宋体"/>
          <w:sz w:val="24"/>
        </w:rPr>
        <w:t>若目标ETF变更标的指数，本基金将</w:t>
      </w:r>
      <w:r>
        <w:rPr>
          <w:rFonts w:hint="eastAsia" w:ascii="宋体" w:hAnsi="宋体" w:cs="宋体"/>
          <w:sz w:val="24"/>
        </w:rPr>
        <w:t>在履行适当程序后</w:t>
      </w:r>
      <w:r>
        <w:rPr>
          <w:rFonts w:hint="eastAsia" w:ascii="宋体" w:hAnsi="宋体"/>
          <w:sz w:val="24"/>
        </w:rPr>
        <w:t>相应变更标的指数且继续投资于该目标ETF。但目标ETF召开基金份额持有人大会审议变更目标ETF标的指数事项的，本基金基金份额持有人应当根据基金合同约定参加目标ETF基金份额持有人大会进行表决，目标ETF基金份额持有人大会审议通过变更标的指数事项的，本基金无需召开基金份额持有人大会即可相应变更标的指数并仍为该目标ETF的联接基金。</w:t>
      </w:r>
    </w:p>
    <w:p>
      <w:pPr>
        <w:adjustRightInd w:val="0"/>
        <w:snapToGrid w:val="0"/>
        <w:spacing w:line="360" w:lineRule="auto"/>
        <w:ind w:firstLine="480" w:firstLineChars="200"/>
        <w:rPr>
          <w:rFonts w:ascii="宋体" w:hAnsi="宋体"/>
          <w:sz w:val="24"/>
        </w:rPr>
      </w:pPr>
      <w:r>
        <w:rPr>
          <w:rFonts w:hint="eastAsia" w:ascii="宋体" w:hAnsi="宋体"/>
          <w:sz w:val="24"/>
        </w:rPr>
        <w:t>九、侧袋机制的实施和投资运作安排</w:t>
      </w:r>
    </w:p>
    <w:p>
      <w:pPr>
        <w:adjustRightInd w:val="0"/>
        <w:snapToGrid w:val="0"/>
        <w:spacing w:line="360" w:lineRule="auto"/>
        <w:ind w:firstLine="480" w:firstLineChars="200"/>
        <w:rPr>
          <w:rFonts w:ascii="宋体" w:hAnsi="宋体"/>
          <w:sz w:val="24"/>
        </w:rPr>
      </w:pPr>
      <w:r>
        <w:rPr>
          <w:rFonts w:hint="eastAsia"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pStyle w:val="21"/>
        <w:adjustRightInd w:val="0"/>
        <w:snapToGrid w:val="0"/>
        <w:ind w:firstLine="480"/>
        <w:rPr>
          <w:sz w:val="24"/>
        </w:rPr>
      </w:pPr>
      <w:r>
        <w:rPr>
          <w:rFonts w:hint="eastAsia"/>
          <w:sz w:val="24"/>
        </w:rPr>
        <w:t>侧袋机制实施期间，本部分约定的投资组合比例、投资策略、组合限制、业绩比较基准、风险收益特征等约定仅适用于主袋账户。</w:t>
      </w:r>
    </w:p>
    <w:p>
      <w:pPr>
        <w:pStyle w:val="21"/>
        <w:adjustRightInd w:val="0"/>
        <w:snapToGrid w:val="0"/>
        <w:ind w:firstLine="480"/>
        <w:rPr>
          <w:rFonts w:cs="宋体"/>
          <w:sz w:val="24"/>
        </w:rPr>
      </w:pPr>
      <w:r>
        <w:rPr>
          <w:rFonts w:hint="eastAsia" w:cs="宋体"/>
          <w:sz w:val="24"/>
        </w:rPr>
        <w:t>侧袋账户的实施条件、实施程序、运作安排、投资安排、特定资产的处置变现和支付等对投资者权益有重大影响的事项详见本招募说明书“第十六部分  侧袋机制”的规定。</w:t>
      </w:r>
    </w:p>
    <w:p>
      <w:pPr>
        <w:pStyle w:val="2"/>
        <w:adjustRightInd w:val="0"/>
        <w:snapToGrid w:val="0"/>
        <w:spacing w:before="0" w:after="0" w:line="360" w:lineRule="auto"/>
        <w:jc w:val="center"/>
        <w:rPr>
          <w:rFonts w:ascii="宋体" w:hAnsi="宋体"/>
        </w:rPr>
      </w:pPr>
      <w:r>
        <w:rPr>
          <w:rFonts w:ascii="宋体" w:hAnsi="宋体"/>
        </w:rPr>
        <w:br w:type="page"/>
      </w:r>
      <w:bookmarkStart w:id="39" w:name="_Toc88037850"/>
      <w:bookmarkStart w:id="40" w:name="_Toc103003352"/>
      <w:bookmarkStart w:id="41" w:name="_Toc122336554"/>
      <w:r>
        <w:rPr>
          <w:rFonts w:ascii="宋体" w:hAnsi="宋体"/>
        </w:rPr>
        <w:t>第</w:t>
      </w:r>
      <w:r>
        <w:rPr>
          <w:rFonts w:hint="eastAsia" w:ascii="宋体" w:hAnsi="宋体"/>
        </w:rPr>
        <w:t>十</w:t>
      </w:r>
      <w:r>
        <w:rPr>
          <w:rFonts w:ascii="宋体" w:hAnsi="宋体"/>
        </w:rPr>
        <w:t>部分</w:t>
      </w:r>
      <w:r>
        <w:rPr>
          <w:rFonts w:hint="eastAsia" w:ascii="宋体" w:hAnsi="宋体"/>
        </w:rPr>
        <w:t xml:space="preserve">  基金的财产</w:t>
      </w:r>
      <w:bookmarkEnd w:id="39"/>
      <w:bookmarkEnd w:id="40"/>
      <w:bookmarkEnd w:id="41"/>
    </w:p>
    <w:p>
      <w:pPr>
        <w:pStyle w:val="21"/>
        <w:adjustRightInd w:val="0"/>
        <w:snapToGrid w:val="0"/>
        <w:ind w:firstLine="480"/>
        <w:rPr>
          <w:sz w:val="24"/>
        </w:rPr>
      </w:pPr>
    </w:p>
    <w:p>
      <w:pPr>
        <w:pStyle w:val="21"/>
        <w:adjustRightInd w:val="0"/>
        <w:snapToGrid w:val="0"/>
        <w:ind w:firstLine="480"/>
        <w:rPr>
          <w:bCs/>
          <w:sz w:val="24"/>
        </w:rPr>
      </w:pPr>
      <w:r>
        <w:rPr>
          <w:rFonts w:hint="eastAsia"/>
          <w:bCs/>
          <w:sz w:val="24"/>
        </w:rPr>
        <w:t>一、基金资产总值</w:t>
      </w:r>
    </w:p>
    <w:p>
      <w:pPr>
        <w:pStyle w:val="21"/>
        <w:adjustRightInd w:val="0"/>
        <w:snapToGrid w:val="0"/>
        <w:ind w:firstLine="480"/>
        <w:rPr>
          <w:bCs/>
          <w:sz w:val="24"/>
        </w:rPr>
      </w:pPr>
      <w:r>
        <w:rPr>
          <w:rFonts w:hint="eastAsia"/>
          <w:bCs/>
          <w:sz w:val="24"/>
        </w:rPr>
        <w:t>基金资产总值是指基金拥有的目标ETF份额、各类证券及票据价值、股指期货合约、股票期权合约、资产支持证券、银行存款本息和基金应收款项以及其他投资所形成的价值总和。</w:t>
      </w:r>
    </w:p>
    <w:p>
      <w:pPr>
        <w:pStyle w:val="21"/>
        <w:adjustRightInd w:val="0"/>
        <w:snapToGrid w:val="0"/>
        <w:ind w:firstLine="480"/>
        <w:rPr>
          <w:bCs/>
          <w:sz w:val="24"/>
        </w:rPr>
      </w:pPr>
      <w:r>
        <w:rPr>
          <w:rFonts w:hint="eastAsia"/>
          <w:bCs/>
          <w:sz w:val="24"/>
        </w:rPr>
        <w:t>二、基金资产净值</w:t>
      </w:r>
    </w:p>
    <w:p>
      <w:pPr>
        <w:pStyle w:val="21"/>
        <w:adjustRightInd w:val="0"/>
        <w:snapToGrid w:val="0"/>
        <w:ind w:firstLine="480"/>
        <w:rPr>
          <w:bCs/>
          <w:sz w:val="24"/>
        </w:rPr>
      </w:pPr>
      <w:r>
        <w:rPr>
          <w:rFonts w:hint="eastAsia"/>
          <w:bCs/>
          <w:sz w:val="24"/>
        </w:rPr>
        <w:t>基金资产净值是指基金资产总值减去基金负债后的价值。</w:t>
      </w:r>
    </w:p>
    <w:p>
      <w:pPr>
        <w:pStyle w:val="21"/>
        <w:adjustRightInd w:val="0"/>
        <w:snapToGrid w:val="0"/>
        <w:ind w:firstLine="480"/>
        <w:rPr>
          <w:bCs/>
          <w:sz w:val="24"/>
        </w:rPr>
      </w:pPr>
      <w:r>
        <w:rPr>
          <w:rFonts w:hint="eastAsia"/>
          <w:bCs/>
          <w:sz w:val="24"/>
        </w:rPr>
        <w:t>三、基金财产的账户</w:t>
      </w:r>
    </w:p>
    <w:p>
      <w:pPr>
        <w:pStyle w:val="21"/>
        <w:adjustRightInd w:val="0"/>
        <w:snapToGrid w:val="0"/>
        <w:ind w:firstLine="480"/>
        <w:rPr>
          <w:bCs/>
          <w:sz w:val="24"/>
        </w:rPr>
      </w:pPr>
      <w:r>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pPr>
        <w:pStyle w:val="21"/>
        <w:adjustRightInd w:val="0"/>
        <w:snapToGrid w:val="0"/>
        <w:ind w:firstLine="480"/>
        <w:rPr>
          <w:bCs/>
          <w:sz w:val="24"/>
        </w:rPr>
      </w:pPr>
      <w:r>
        <w:rPr>
          <w:rFonts w:hint="eastAsia"/>
          <w:bCs/>
          <w:sz w:val="24"/>
        </w:rPr>
        <w:t>四、基金财产的保管和处分</w:t>
      </w:r>
    </w:p>
    <w:p>
      <w:pPr>
        <w:pStyle w:val="21"/>
        <w:adjustRightInd w:val="0"/>
        <w:snapToGrid w:val="0"/>
        <w:ind w:firstLine="480"/>
        <w:rPr>
          <w:bCs/>
          <w:sz w:val="24"/>
        </w:rPr>
      </w:pPr>
      <w:r>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pStyle w:val="21"/>
        <w:adjustRightInd w:val="0"/>
        <w:snapToGrid w:val="0"/>
        <w:ind w:firstLine="480"/>
        <w:rPr>
          <w:bCs/>
          <w:sz w:val="24"/>
        </w:rPr>
      </w:pPr>
      <w:r>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pPr>
        <w:pStyle w:val="21"/>
        <w:adjustRightInd w:val="0"/>
        <w:snapToGrid w:val="0"/>
        <w:rPr>
          <w:color w:val="000000"/>
          <w:szCs w:val="21"/>
        </w:rPr>
      </w:pPr>
      <w:bookmarkStart w:id="42" w:name="_Hlt88900062"/>
      <w:bookmarkEnd w:id="42"/>
      <w:bookmarkStart w:id="43" w:name="_Hlt88841837"/>
      <w:bookmarkEnd w:id="43"/>
    </w:p>
    <w:p>
      <w:pPr>
        <w:pStyle w:val="2"/>
        <w:adjustRightInd w:val="0"/>
        <w:snapToGrid w:val="0"/>
        <w:spacing w:before="0" w:after="0" w:line="360" w:lineRule="auto"/>
        <w:jc w:val="center"/>
        <w:rPr>
          <w:rFonts w:ascii="宋体" w:hAnsi="宋体"/>
        </w:rPr>
      </w:pPr>
      <w:bookmarkStart w:id="44" w:name="_Toc88037851"/>
      <w:bookmarkStart w:id="45" w:name="_Toc122336555"/>
      <w:r>
        <w:rPr>
          <w:rFonts w:ascii="宋体" w:hAnsi="宋体"/>
        </w:rPr>
        <w:br w:type="page"/>
      </w:r>
      <w:bookmarkStart w:id="46" w:name="_Toc103003353"/>
      <w:r>
        <w:rPr>
          <w:rFonts w:ascii="宋体" w:hAnsi="宋体"/>
        </w:rPr>
        <w:t>第</w:t>
      </w:r>
      <w:r>
        <w:rPr>
          <w:rFonts w:hint="eastAsia" w:ascii="宋体" w:hAnsi="宋体"/>
        </w:rPr>
        <w:t>十一</w:t>
      </w:r>
      <w:r>
        <w:rPr>
          <w:rFonts w:ascii="宋体" w:hAnsi="宋体"/>
        </w:rPr>
        <w:t>部分</w:t>
      </w:r>
      <w:r>
        <w:rPr>
          <w:rFonts w:hint="eastAsia" w:ascii="宋体" w:hAnsi="宋体"/>
        </w:rPr>
        <w:t xml:space="preserve">  基金资产估值</w:t>
      </w:r>
      <w:bookmarkEnd w:id="44"/>
      <w:bookmarkEnd w:id="45"/>
      <w:bookmarkEnd w:id="46"/>
    </w:p>
    <w:p>
      <w:pPr>
        <w:pStyle w:val="21"/>
        <w:adjustRightInd w:val="0"/>
        <w:snapToGrid w:val="0"/>
        <w:ind w:firstLine="480"/>
        <w:rPr>
          <w:sz w:val="24"/>
        </w:rPr>
      </w:pP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一、估值日</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本基金的估值日为本基金相关的证券/期货交易所的交易日以及国家法律法规规定需要对外披露基金净值的非交易日。</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二、估值对象</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基金所拥有的目标ETF基金份额、股票、股指期货合约、股票期权合约、债券和银行存款本息、资产支持证券、应收款项、其它投资等资产及负债。</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三、估值原则</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基金管理人在确定相关金融资产和金融负债的公允价值时，应符合《企业会计准则》、监管部门有关规定。</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（三）如经济环境发生重大变化或证券发行人发生影响证券价格的重大事件，使潜在估值调整对前一估值日的基金资产净值的影响在0.25%以上的，应对估值进行调整并确定公允价值。</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四、估值方法</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1、目标ETF的估值</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本基金投资的目标ETF份额以其估值日基金份额净值估值。</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2、证券交易所上市的有价证券的估值</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1）交易所上市的有价证券（包括股票等），以其估值日在证券交易所挂牌的市价（收盘价）估值；估值日无市价，但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值；</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2）对于已上市或已挂牌转让的不含权固定收益品种（法规另有规定的除外），选取第三方估值基准服务机构提供的相应品种当日的估值全价，基金管理人根据相关法律、法规的规定进行涉税处理(下同)。对于已上市或已挂牌转让的含权固定收益品种（法规另有规定的除外），选取第三方估值基准服务机构提供的相应品种当日的唯一估值全价或推荐估值全价。对于含投资者回售权的固定收益品种，行使回售权的，在回售登记日至实际收款日期间选取第三方估值基准服务机构提供的相应品种的唯一估值全价或推荐估值全价，同时充分考虑发行人的信用风险变化对公允价值的影响。回售登记期截止日（含当日）后未行使回售权的按照长待偿期所对应的价格进行估值。如最近交易日后经济环境发生了重大变化的，可参考类似投资品种的现行市价及重大变化因素，调整最近交易市价，确定公允价值；</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3）交易所上市交易的公开发行的可转换公司债券等有活跃市场的含转股权的债券，实行全价交易的债券选取估值日收盘价作为估值全价；实行净价交易的债券选取估值日收盘价并加计每百元税前应计利息作为估值全价。估值日没有交易的，且最近交易日后经济环境未发生重大变化，按最近交易日债券收盘价并加计每百元税前应计利息作为估值全价。如最近交易日后经济环境发生了重大变化的，可参考类似投资品种的现行市价及重大变化因素，调整最近交易市价，确定公允价值；</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（4）本基金投资存托凭证的估值核算，依照境内上市交易的股票执行。</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3、处于未上市期间的有价证券应区分如下情况处理：</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（1）送股、转增股、配股和公开增发的股票，按估值日在证券交易所挂牌的同一股票的估值方法估值；该日无交易的，以最近一日的市价（收盘价）估值；</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（2）首次公开发行未上市的股票，采用估值技术确定公允价值；</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3）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（4）对于未上市或未挂牌转让且不存在活跃市场的固定收益品种，采用在当前情况下适用并且有足够可利用数据和其他信息支持的估值技术确定其公允价值。</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4、对全国银行间市场已上市或已挂牌转让的不含权固定收益品种（法规另有规定的除外），选取第三方估值基准服务机构提供的相应品种当日的估值全价，基金管理人根据相关法律、法规的规定进行涉税处理(下同)。对于已上市或已挂牌转让的含权固定收益品种（法规另有规定的除外），选取第三方估值基准服务机构提供的相应品种当日的唯一估值全价或推荐估值全价。对于含投资者回售权的固定收益品种，行使回售权的，在回售登记日至实际收款日期间选取第三方估值基准服务机构提供的相应品种的唯一估值全价或推荐估值全价，同时充分考虑发行人的信用风险变化对公允价值的影响。回售登记期截止日（含当日）后未行使回售权的按照长待偿期所对应的价格进行估值。如最近交易日后经济环境发生了重大变化的，可参考类似投资品种的现行市价及重大变化因素，调整最近交易市价，确定公允价值。</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5、同一证券同时在两个或两个以上市场交易的，按其所处的市场分别估值。</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6、本基金持有的回购以摊余成本列示，按合同利率在回购期间内逐日计提应收或应付利息。</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7、本基金持有的银行存款和备付金余额以摊余成本列示，按相应利率逐日计提利息。</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8、本基金投资股指期货合约，一般以估值当日结算价进行估值，估值当日无结算价，且最近交易日后经济环境未发生重大变化的，采用最近交易日结算价估值。</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9、本基金投资股票期权合约，</w:t>
      </w:r>
      <w:r>
        <w:rPr>
          <w:rFonts w:hint="eastAsia"/>
          <w:bCs/>
          <w:sz w:val="24"/>
          <w:szCs w:val="24"/>
        </w:rPr>
        <w:t>一般以估值当日结算价进行估值，估值当日无结算价，且最近交易日后经济环境未发生重大变化的，采用最近交易日结算价估值。</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10、本基金参与融资和转融通证券出借业务的，按照相关法律法规和行业协会的相关规定进行估值。</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11、如有确凿证据表明按上述方法进行估值不能客观反映其公允价值的，基金管理人可根据具体情况与基金托管人商定后，按最能反映公允价值的价格估值。</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12、当本基金发生大额申购或赎回情形时，基金管理人可以采用摆动定价机制，以确保基金估值的公平性。</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13、相关法律法规以及监管部门有强制规定的，从其规定。如有新增事项，按国家最新规定估值。</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如基金管理人或基金托管人发现基金估值违反基金合同订明的估值方法、程序及相关法律法规的规定或者未能充分维护基金份额持有人利益时，应立即通知对方，共同查明原因，双方协商解决，以约定的方法、程序和相关法律法规的规定进行估值，以维护基金份额持有人的利益。</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根据有关法律法规，各类基金资产净值计算、各类基金份额净值计算和基金会计核算的义务由基金管理人承担。本基金的基金会计责任方由基金管理人担任，因此，就与本基金有关的会计问题，如经相关各方在平等基础上充分讨论后，仍无法达成一致意见的</w:t>
      </w:r>
      <w:r>
        <w:rPr>
          <w:rFonts w:hint="eastAsia"/>
          <w:bCs/>
          <w:sz w:val="24"/>
          <w:szCs w:val="24"/>
        </w:rPr>
        <w:t>，</w:t>
      </w:r>
      <w:r>
        <w:rPr>
          <w:rFonts w:hint="eastAsia" w:ascii="Times New Roman" w:hAnsi="Times New Roman" w:cs="宋体"/>
          <w:bCs/>
          <w:sz w:val="24"/>
          <w:szCs w:val="24"/>
        </w:rPr>
        <w:t>按照基金管理人对各类基金净值信息的计算结果按规定对外予以公布。</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五、估值程序</w:t>
      </w:r>
    </w:p>
    <w:p>
      <w:pPr>
        <w:pStyle w:val="21"/>
        <w:adjustRightInd w:val="0"/>
        <w:snapToGrid w:val="0"/>
        <w:ind w:firstLine="480"/>
        <w:rPr>
          <w:rFonts w:cs="宋体"/>
          <w:bCs/>
          <w:sz w:val="24"/>
          <w:szCs w:val="24"/>
        </w:rPr>
      </w:pPr>
      <w:r>
        <w:rPr>
          <w:rFonts w:hint="eastAsia" w:cs="宋体"/>
          <w:bCs/>
          <w:sz w:val="24"/>
          <w:szCs w:val="24"/>
        </w:rPr>
        <w:t>1、基金份额净值是按照每个估值日闭市后，A类基金份额和C类基金份额的基金资产净值分别除以当日该类基金份额的余额数量计算，均精确到0.0001元，小数点后第5位四舍五入。基金管理人可以设立大额赎回情形下的净值精度应急调整机制。国家另有规定的，从其规定。</w:t>
      </w:r>
    </w:p>
    <w:p>
      <w:pPr>
        <w:pStyle w:val="21"/>
        <w:adjustRightInd w:val="0"/>
        <w:snapToGrid w:val="0"/>
        <w:ind w:firstLine="480"/>
        <w:rPr>
          <w:rFonts w:cs="宋体"/>
          <w:bCs/>
          <w:sz w:val="24"/>
          <w:szCs w:val="24"/>
        </w:rPr>
      </w:pPr>
      <w:r>
        <w:rPr>
          <w:rFonts w:hint="eastAsia" w:cs="宋体"/>
          <w:bCs/>
          <w:sz w:val="24"/>
          <w:szCs w:val="24"/>
        </w:rPr>
        <w:t>基金管理人于每个估值日计算A类基金份额和C类基金份额的基金资产净值及基金份额净值，经基金托管人复核，并按规定公告。如遇特殊情况，经履行适当程序，可以适当延迟计算或公告。</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2、基金管理人应每个估值日对基金资产估值。但基金管理人根据法律法规或基金合同的规定暂停估值时除外。基金管理人每个估值日对基金资产估值后，将拟公告的各类基金份额净值结果发送基金托管人，经基金托管人复核无误后，由基金管理人按约定对外公布。</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六、估值错误的处理</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基金管理人和基金托管人将采取必要、适当、合理的措施确保基金资产估值的准确性、及时性。当任一类基金份额净值小数点后</w:t>
      </w:r>
      <w:r>
        <w:rPr>
          <w:rFonts w:hint="eastAsia" w:cs="宋体"/>
          <w:bCs/>
          <w:sz w:val="24"/>
          <w:szCs w:val="24"/>
        </w:rPr>
        <w:t>4位以内（含第4位）</w:t>
      </w:r>
      <w:r>
        <w:rPr>
          <w:rFonts w:hint="eastAsia" w:ascii="Times New Roman" w:hAnsi="Times New Roman" w:cs="宋体"/>
          <w:bCs/>
          <w:sz w:val="24"/>
          <w:szCs w:val="24"/>
        </w:rPr>
        <w:t>发生估值错误时，视为该类基金份额净值错误。</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基金合同的当事人应按照以下约定处理：</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1、估值错误类型</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上述估值错误的主要类型包括但不限于：资料申报差错、数据传输差错、数据计算差错、系统故障差错、下达指令差错等。</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2、估值错误处理原则</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（2）估值错误的责任方对有关当事人的直接损失负责，不对间接损失负责，并且仅对估值错误的有关直接当事人负责，不对第三方负责。</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（4）估值错误调整采用尽量恢复至假设未发生估值错误的正确情形的方式。</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3、估值错误处理程序</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估值错误被发现后，有关的当事人应当及时进行处理，处理的程序如下：</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（1）查明估值错误发生的原因，列明所有的当事人，并根据估值错误发生的原因确定估值错误的责任方；</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（2）根据估值错误处理原则或当事人协商的方法对因估值错误造成的损失进行评估；</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（3）根据估值错误处理原则或当事人协商的方法由估值错误的责任方进行更正和赔偿损失；</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（4）根据估值错误处理的方法，需要修改基金登记机构交易数据的，由基金登记机构进行更正，并就估值错误的更正向有关当事人进行确认。</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4、基金份额净值估值错误处理的方法如下：</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（1）基金份额净值计算出现错误时，基金管理人应当立即予以纠正，通报基金托管人，并采取合理的措施防止损失进一步扩大。</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（2）错误偏差达到该类基金份额净值的0.25%时，基金管理人应当通报基金托管人并报中国证监会备案；错误偏差达到该类基金份额净值的0.5%时，基金管理人应当公告，并报中国证监会备案。</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（3）前述内容如法律法规或监管机关另有规定的，从其规定处理。如果行业另有通行做法，基金管理人和基金托管人应本着平等和保护基金份额持有人利益的原则进行协商。</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基金托管人发现基金份额净值估值出现重大错误或者估值出现重大偏离的，应当提示基金管理人依法履行披露和报告义务。</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七、暂停估值的情形</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1、基金投资所涉及的证券/期货交易市场遇法定节假日或因其他原因暂停营业时；</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2、基金所投资之目标ETF发生暂停估值、暂停公告基金份额净值的情形；</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3、因不可抗力或其他情形致使基金管理人、基金托管人无法准确评估基金资产价值时；</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4、当</w:t>
      </w:r>
      <w:r>
        <w:rPr>
          <w:bCs/>
          <w:sz w:val="24"/>
        </w:rPr>
        <w:t>特定资产占前</w:t>
      </w:r>
      <w:r>
        <w:rPr>
          <w:sz w:val="24"/>
        </w:rPr>
        <w:t>一估值日基金资产净值</w:t>
      </w:r>
      <w:r>
        <w:rPr>
          <w:rFonts w:hint="eastAsia"/>
          <w:sz w:val="24"/>
        </w:rPr>
        <w:t>50%</w:t>
      </w:r>
      <w:r>
        <w:rPr>
          <w:sz w:val="24"/>
        </w:rPr>
        <w:t>以上</w:t>
      </w:r>
      <w:r>
        <w:rPr>
          <w:rFonts w:hint="eastAsia" w:ascii="Times New Roman" w:hAnsi="Times New Roman" w:cs="宋体"/>
          <w:bCs/>
          <w:sz w:val="24"/>
          <w:szCs w:val="24"/>
        </w:rPr>
        <w:t>时，经与基金托管人协商确认后，基金管理人应当暂停估值；</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5、法律法规、中国证监会和基金合同认定的其它情形。</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八、基金资产净值、基金份额净值的确认</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各类基金资产净值和各类基金份额净值由基金管理人负责计算，基金托管人负责进行复核。基金管理人应于每个估值日交易结束后计算当日的各类基金资产净值和各类基金份额净值并发送给基金托管人。基金托管人对净值计算结果复核确认后发送给基金管理人，由基金管理人按规定对各类基金份额净值予以公布。</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九、特殊情况的处理</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1、基金管理人或基金托管人按估值方法的第11项进行估值时，所造成的误差不作为基金资产估值错误处理；</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2、由于不可抗力原因，或由于证券/期货交易所及登记结算公司、标的指数编制机构、证券/期货经纪机构、存款银行发送的数据错误、遗漏，或第三方估值基准服务机构等提供的估值数据错误、遗漏，有关会计制度变化等</w:t>
      </w:r>
      <w:r>
        <w:rPr>
          <w:sz w:val="24"/>
        </w:rPr>
        <w:t>非基金管理人与基金托管人原因</w:t>
      </w:r>
      <w:r>
        <w:rPr>
          <w:rFonts w:hint="eastAsia" w:ascii="Times New Roman" w:hAnsi="Times New Roman" w:cs="宋体"/>
          <w:bCs/>
          <w:sz w:val="24"/>
          <w:szCs w:val="24"/>
        </w:rPr>
        <w:t>，基金管理人和基金托管人虽然已经采取必要、适当、合理的措施进行检查，但未能发现该错误</w:t>
      </w:r>
      <w:r>
        <w:rPr>
          <w:rFonts w:hint="eastAsia" w:ascii="黑体" w:hAnsi="黑体"/>
          <w:bCs/>
          <w:sz w:val="24"/>
          <w:szCs w:val="24"/>
        </w:rPr>
        <w:t>、遗漏</w:t>
      </w:r>
      <w:r>
        <w:rPr>
          <w:rFonts w:hint="eastAsia" w:ascii="Times New Roman" w:hAnsi="Times New Roman" w:cs="宋体"/>
          <w:bCs/>
          <w:sz w:val="24"/>
          <w:szCs w:val="24"/>
        </w:rPr>
        <w:t>的，由此造成的基金资产估值错误，基金管理人和基金托管人免除赔偿责任。但基金管理人、基金托管人应当积极采取必要的措施消除或减轻由此造成的影响。</w:t>
      </w:r>
    </w:p>
    <w:p>
      <w:pPr>
        <w:pStyle w:val="21"/>
        <w:adjustRightInd w:val="0"/>
        <w:snapToGrid w:val="0"/>
        <w:ind w:firstLine="480"/>
        <w:rPr>
          <w:rFonts w:ascii="Times New Roman" w:hAnsi="Times New Roman" w:cs="宋体"/>
          <w:bCs/>
          <w:sz w:val="24"/>
          <w:szCs w:val="24"/>
        </w:rPr>
      </w:pPr>
      <w:r>
        <w:rPr>
          <w:rFonts w:hint="eastAsia" w:ascii="Times New Roman" w:hAnsi="Times New Roman" w:cs="宋体"/>
          <w:bCs/>
          <w:sz w:val="24"/>
          <w:szCs w:val="24"/>
        </w:rPr>
        <w:t>十、实施侧袋机制期间的基金资产估值</w:t>
      </w:r>
    </w:p>
    <w:p>
      <w:pPr>
        <w:adjustRightInd w:val="0"/>
        <w:snapToGrid w:val="0"/>
        <w:spacing w:line="360" w:lineRule="auto"/>
        <w:ind w:firstLine="480" w:firstLineChars="200"/>
        <w:rPr>
          <w:bCs/>
          <w:sz w:val="24"/>
        </w:rPr>
      </w:pPr>
      <w:r>
        <w:rPr>
          <w:rFonts w:hint="eastAsia" w:cs="宋体"/>
          <w:bCs/>
          <w:sz w:val="24"/>
        </w:rPr>
        <w:t>本基金实施侧袋机制的，应根据本部分的约定对主袋账户资产进行估值并披露主袋账户的基金净值信息，暂停披露侧袋账户份额净值</w:t>
      </w:r>
      <w:r>
        <w:rPr>
          <w:rFonts w:hint="eastAsia"/>
          <w:bCs/>
          <w:sz w:val="24"/>
        </w:rPr>
        <w:t>。</w:t>
      </w:r>
    </w:p>
    <w:p>
      <w:pPr>
        <w:pStyle w:val="2"/>
        <w:spacing w:line="360" w:lineRule="auto"/>
        <w:jc w:val="center"/>
        <w:rPr>
          <w:rFonts w:ascii="宋体" w:hAnsi="宋体"/>
        </w:rPr>
      </w:pPr>
      <w:r>
        <w:rPr>
          <w:rFonts w:ascii="宋体" w:hAnsi="宋体"/>
        </w:rPr>
        <w:br w:type="page"/>
      </w:r>
      <w:bookmarkStart w:id="47" w:name="_Toc103003354"/>
      <w:r>
        <w:rPr>
          <w:rFonts w:ascii="宋体" w:hAnsi="宋体"/>
        </w:rPr>
        <w:t>第</w:t>
      </w:r>
      <w:r>
        <w:rPr>
          <w:rFonts w:hint="eastAsia" w:ascii="宋体" w:hAnsi="宋体"/>
        </w:rPr>
        <w:t>十二</w:t>
      </w:r>
      <w:r>
        <w:rPr>
          <w:rFonts w:ascii="宋体" w:hAnsi="宋体"/>
        </w:rPr>
        <w:t>部分</w:t>
      </w:r>
      <w:r>
        <w:rPr>
          <w:rFonts w:hint="eastAsia" w:ascii="宋体" w:hAnsi="宋体"/>
        </w:rPr>
        <w:t xml:space="preserve">  基金的费用与税收</w:t>
      </w:r>
      <w:bookmarkEnd w:id="47"/>
    </w:p>
    <w:p>
      <w:pPr>
        <w:pStyle w:val="21"/>
        <w:ind w:firstLine="480" w:firstLineChars="0"/>
        <w:rPr>
          <w:sz w:val="24"/>
        </w:rPr>
      </w:pPr>
    </w:p>
    <w:p>
      <w:pPr>
        <w:pStyle w:val="21"/>
        <w:ind w:firstLine="480"/>
        <w:rPr>
          <w:rFonts w:ascii="Times New Roman" w:hAnsi="Times New Roman" w:cs="宋体"/>
          <w:sz w:val="24"/>
          <w:szCs w:val="24"/>
        </w:rPr>
      </w:pPr>
      <w:r>
        <w:rPr>
          <w:rFonts w:hint="eastAsia" w:ascii="Times New Roman" w:hAnsi="Times New Roman" w:cs="宋体"/>
          <w:sz w:val="24"/>
          <w:szCs w:val="24"/>
        </w:rPr>
        <w:t>一、基金费用的种类</w:t>
      </w:r>
    </w:p>
    <w:p>
      <w:pPr>
        <w:pStyle w:val="21"/>
        <w:ind w:firstLine="480"/>
        <w:rPr>
          <w:rFonts w:ascii="Times New Roman" w:hAnsi="Times New Roman" w:cs="宋体"/>
          <w:sz w:val="24"/>
          <w:szCs w:val="24"/>
        </w:rPr>
      </w:pPr>
      <w:r>
        <w:rPr>
          <w:rFonts w:hint="eastAsia" w:ascii="Times New Roman" w:hAnsi="Times New Roman" w:cs="宋体"/>
          <w:sz w:val="24"/>
          <w:szCs w:val="24"/>
        </w:rPr>
        <w:t>1、基金管理人的管理费；</w:t>
      </w:r>
    </w:p>
    <w:p>
      <w:pPr>
        <w:pStyle w:val="21"/>
        <w:ind w:firstLine="480"/>
        <w:rPr>
          <w:rFonts w:ascii="Times New Roman" w:hAnsi="Times New Roman" w:cs="宋体"/>
          <w:sz w:val="24"/>
          <w:szCs w:val="24"/>
        </w:rPr>
      </w:pPr>
      <w:r>
        <w:rPr>
          <w:rFonts w:hint="eastAsia" w:ascii="Times New Roman" w:hAnsi="Times New Roman" w:cs="宋体"/>
          <w:sz w:val="24"/>
          <w:szCs w:val="24"/>
        </w:rPr>
        <w:t>2、基金托管人的托管费；</w:t>
      </w:r>
    </w:p>
    <w:p>
      <w:pPr>
        <w:pStyle w:val="21"/>
        <w:ind w:firstLine="480"/>
        <w:rPr>
          <w:rFonts w:ascii="Times New Roman" w:hAnsi="Times New Roman" w:cs="宋体"/>
          <w:sz w:val="24"/>
          <w:szCs w:val="24"/>
        </w:rPr>
      </w:pPr>
      <w:r>
        <w:rPr>
          <w:rFonts w:hint="eastAsia" w:ascii="Times New Roman" w:hAnsi="Times New Roman" w:cs="宋体"/>
          <w:sz w:val="24"/>
          <w:szCs w:val="24"/>
        </w:rPr>
        <w:t>3、从</w:t>
      </w:r>
      <w:r>
        <w:rPr>
          <w:rFonts w:hint="eastAsia" w:cs="宋体"/>
          <w:sz w:val="24"/>
          <w:szCs w:val="24"/>
        </w:rPr>
        <w:t>C</w:t>
      </w:r>
      <w:r>
        <w:rPr>
          <w:rFonts w:hint="eastAsia" w:ascii="Times New Roman" w:hAnsi="Times New Roman" w:cs="宋体"/>
          <w:sz w:val="24"/>
          <w:szCs w:val="24"/>
        </w:rPr>
        <w:t>类基金份额的基金财产中计提的销售服务费；</w:t>
      </w:r>
    </w:p>
    <w:p>
      <w:pPr>
        <w:pStyle w:val="21"/>
        <w:ind w:firstLine="480"/>
        <w:rPr>
          <w:rFonts w:ascii="Times New Roman" w:hAnsi="Times New Roman" w:cs="宋体"/>
          <w:sz w:val="24"/>
          <w:szCs w:val="24"/>
        </w:rPr>
      </w:pPr>
      <w:r>
        <w:rPr>
          <w:rFonts w:hint="eastAsia" w:ascii="Times New Roman" w:hAnsi="Times New Roman" w:cs="宋体"/>
          <w:sz w:val="24"/>
          <w:szCs w:val="24"/>
        </w:rPr>
        <w:t>4、基金合同生效后与基金相关的信息披露费用；</w:t>
      </w:r>
    </w:p>
    <w:p>
      <w:pPr>
        <w:pStyle w:val="21"/>
        <w:ind w:firstLine="480"/>
        <w:rPr>
          <w:rFonts w:ascii="Times New Roman" w:hAnsi="Times New Roman" w:cs="宋体"/>
          <w:sz w:val="24"/>
          <w:szCs w:val="24"/>
        </w:rPr>
      </w:pPr>
      <w:r>
        <w:rPr>
          <w:rFonts w:hint="eastAsia" w:ascii="Times New Roman" w:hAnsi="Times New Roman" w:cs="宋体"/>
          <w:sz w:val="24"/>
          <w:szCs w:val="24"/>
        </w:rPr>
        <w:t>5、基金合同生效后与基金相关的会计师费、审计费、律师费和诉讼费、仲裁费等费用；</w:t>
      </w:r>
    </w:p>
    <w:p>
      <w:pPr>
        <w:pStyle w:val="21"/>
        <w:ind w:firstLine="480"/>
        <w:rPr>
          <w:rFonts w:ascii="Times New Roman" w:hAnsi="Times New Roman" w:cs="宋体"/>
          <w:sz w:val="24"/>
          <w:szCs w:val="24"/>
        </w:rPr>
      </w:pPr>
      <w:r>
        <w:rPr>
          <w:rFonts w:hint="eastAsia" w:ascii="Times New Roman" w:hAnsi="Times New Roman" w:cs="宋体"/>
          <w:sz w:val="24"/>
          <w:szCs w:val="24"/>
        </w:rPr>
        <w:t>6、基金份额持有人大会费用；</w:t>
      </w:r>
    </w:p>
    <w:p>
      <w:pPr>
        <w:pStyle w:val="21"/>
        <w:ind w:firstLine="480"/>
        <w:rPr>
          <w:rFonts w:ascii="Times New Roman" w:hAnsi="Times New Roman" w:cs="宋体"/>
          <w:sz w:val="24"/>
          <w:szCs w:val="24"/>
        </w:rPr>
      </w:pPr>
      <w:r>
        <w:rPr>
          <w:rFonts w:hint="eastAsia" w:ascii="Times New Roman" w:hAnsi="Times New Roman" w:cs="宋体"/>
          <w:sz w:val="24"/>
          <w:szCs w:val="24"/>
        </w:rPr>
        <w:t>7、基金的证券、期货、股票期权等投资标的交易结算费用；</w:t>
      </w:r>
    </w:p>
    <w:p>
      <w:pPr>
        <w:pStyle w:val="21"/>
        <w:ind w:firstLine="480"/>
        <w:rPr>
          <w:rFonts w:ascii="Times New Roman" w:hAnsi="Times New Roman" w:cs="宋体"/>
          <w:sz w:val="24"/>
          <w:szCs w:val="24"/>
        </w:rPr>
      </w:pPr>
      <w:r>
        <w:rPr>
          <w:rFonts w:hint="eastAsia" w:ascii="Times New Roman" w:hAnsi="Times New Roman" w:cs="宋体"/>
          <w:sz w:val="24"/>
          <w:szCs w:val="24"/>
        </w:rPr>
        <w:t>8、基金的银行汇划费用；</w:t>
      </w:r>
    </w:p>
    <w:p>
      <w:pPr>
        <w:pStyle w:val="21"/>
        <w:ind w:firstLine="480"/>
        <w:rPr>
          <w:rFonts w:ascii="Times New Roman" w:hAnsi="Times New Roman" w:cs="宋体"/>
          <w:sz w:val="24"/>
          <w:szCs w:val="24"/>
        </w:rPr>
      </w:pPr>
      <w:r>
        <w:rPr>
          <w:rFonts w:hint="eastAsia" w:ascii="Times New Roman" w:hAnsi="Times New Roman" w:cs="宋体"/>
          <w:sz w:val="24"/>
          <w:szCs w:val="24"/>
        </w:rPr>
        <w:t>9、基金相关账户开户和维护费用；</w:t>
      </w:r>
    </w:p>
    <w:p>
      <w:pPr>
        <w:pStyle w:val="21"/>
        <w:ind w:firstLine="480"/>
        <w:rPr>
          <w:rFonts w:ascii="Times New Roman" w:hAnsi="Times New Roman" w:cs="宋体"/>
          <w:sz w:val="24"/>
          <w:szCs w:val="24"/>
        </w:rPr>
      </w:pPr>
      <w:r>
        <w:rPr>
          <w:rFonts w:hint="eastAsia" w:ascii="Times New Roman" w:hAnsi="Times New Roman" w:cs="宋体"/>
          <w:sz w:val="24"/>
          <w:szCs w:val="24"/>
        </w:rPr>
        <w:t>10、基金投资目标</w:t>
      </w:r>
      <w:r>
        <w:rPr>
          <w:rFonts w:hint="eastAsia" w:cs="宋体"/>
          <w:sz w:val="24"/>
          <w:szCs w:val="24"/>
        </w:rPr>
        <w:t>ETF</w:t>
      </w:r>
      <w:r>
        <w:rPr>
          <w:rFonts w:hint="eastAsia" w:ascii="Times New Roman" w:hAnsi="Times New Roman" w:cs="宋体"/>
          <w:sz w:val="24"/>
          <w:szCs w:val="24"/>
        </w:rPr>
        <w:t>的相关费用（包括但不限于对目标</w:t>
      </w:r>
      <w:r>
        <w:rPr>
          <w:rFonts w:hint="eastAsia" w:cs="宋体"/>
          <w:sz w:val="24"/>
          <w:szCs w:val="24"/>
        </w:rPr>
        <w:t>ETF</w:t>
      </w:r>
      <w:r>
        <w:rPr>
          <w:rFonts w:hint="eastAsia" w:ascii="Times New Roman" w:hAnsi="Times New Roman" w:cs="宋体"/>
          <w:sz w:val="24"/>
          <w:szCs w:val="24"/>
        </w:rPr>
        <w:t>的交易费用、申赎费用等）；</w:t>
      </w:r>
    </w:p>
    <w:p>
      <w:pPr>
        <w:pStyle w:val="21"/>
        <w:ind w:firstLine="480"/>
        <w:rPr>
          <w:rFonts w:ascii="Times New Roman" w:hAnsi="Times New Roman" w:cs="宋体"/>
          <w:sz w:val="24"/>
          <w:szCs w:val="24"/>
        </w:rPr>
      </w:pPr>
      <w:r>
        <w:rPr>
          <w:rFonts w:hint="eastAsia" w:ascii="Times New Roman" w:hAnsi="Times New Roman" w:cs="宋体"/>
          <w:sz w:val="24"/>
          <w:szCs w:val="24"/>
        </w:rPr>
        <w:t>11、按照国家有关规定和《基金合同》约定，可以在基金财产中列支的其他费用。</w:t>
      </w:r>
    </w:p>
    <w:p>
      <w:pPr>
        <w:pStyle w:val="21"/>
        <w:ind w:firstLine="480"/>
        <w:rPr>
          <w:rFonts w:ascii="Times New Roman" w:hAnsi="Times New Roman" w:cs="宋体"/>
          <w:sz w:val="24"/>
          <w:szCs w:val="24"/>
        </w:rPr>
      </w:pPr>
      <w:r>
        <w:rPr>
          <w:rFonts w:hint="eastAsia" w:ascii="Times New Roman" w:hAnsi="Times New Roman" w:cs="宋体"/>
          <w:sz w:val="24"/>
          <w:szCs w:val="24"/>
        </w:rPr>
        <w:t>本基金终止清算时所发生费用，按实际支出额从基金财产中扣除。</w:t>
      </w:r>
    </w:p>
    <w:p>
      <w:pPr>
        <w:pStyle w:val="21"/>
        <w:ind w:firstLine="480"/>
        <w:rPr>
          <w:rFonts w:ascii="Times New Roman" w:hAnsi="Times New Roman" w:cs="宋体"/>
          <w:sz w:val="24"/>
          <w:szCs w:val="24"/>
        </w:rPr>
      </w:pPr>
      <w:r>
        <w:rPr>
          <w:rFonts w:hint="eastAsia" w:ascii="Times New Roman" w:hAnsi="Times New Roman" w:cs="宋体"/>
          <w:sz w:val="24"/>
          <w:szCs w:val="24"/>
        </w:rPr>
        <w:t>二、基金费用计提方法、计提标准和支付方式</w:t>
      </w:r>
    </w:p>
    <w:p>
      <w:pPr>
        <w:pStyle w:val="21"/>
        <w:ind w:firstLine="480"/>
        <w:rPr>
          <w:rFonts w:ascii="Times New Roman" w:hAnsi="Times New Roman" w:cs="宋体"/>
          <w:sz w:val="24"/>
          <w:szCs w:val="24"/>
        </w:rPr>
      </w:pPr>
      <w:r>
        <w:rPr>
          <w:rFonts w:hint="eastAsia" w:ascii="Times New Roman" w:hAnsi="Times New Roman" w:cs="宋体"/>
          <w:sz w:val="24"/>
          <w:szCs w:val="24"/>
        </w:rPr>
        <w:t>1、基金管理人的管理费</w:t>
      </w:r>
    </w:p>
    <w:p>
      <w:pPr>
        <w:pStyle w:val="21"/>
        <w:ind w:firstLine="480"/>
        <w:rPr>
          <w:rFonts w:cs="宋体"/>
          <w:sz w:val="24"/>
          <w:szCs w:val="24"/>
        </w:rPr>
      </w:pPr>
      <w:r>
        <w:rPr>
          <w:rFonts w:hint="eastAsia" w:cs="宋体"/>
          <w:sz w:val="24"/>
          <w:szCs w:val="24"/>
        </w:rPr>
        <w:t>本基金基金财产中投资于目标ETF的部分不收取管理费。本基金管理费按前一日基金资产净值扣除所持有目标ETF基金份额部分的基金资产净值后的余额（若为负数，则取0）的0.</w:t>
      </w:r>
      <w:r>
        <w:rPr>
          <w:rFonts w:hint="eastAsia" w:cs="宋体"/>
          <w:sz w:val="24"/>
          <w:szCs w:val="24"/>
          <w:lang w:val="en-US" w:eastAsia="zh-CN"/>
        </w:rPr>
        <w:t>15</w:t>
      </w:r>
      <w:r>
        <w:rPr>
          <w:rFonts w:hint="eastAsia" w:cs="宋体"/>
          <w:sz w:val="24"/>
          <w:szCs w:val="24"/>
        </w:rPr>
        <w:t>%年费率计提。管理费的计算方法如下：</w:t>
      </w:r>
    </w:p>
    <w:p>
      <w:pPr>
        <w:pStyle w:val="21"/>
        <w:ind w:firstLine="480"/>
        <w:rPr>
          <w:rFonts w:cs="宋体"/>
          <w:sz w:val="24"/>
          <w:szCs w:val="24"/>
        </w:rPr>
      </w:pPr>
      <w:r>
        <w:rPr>
          <w:rFonts w:hint="eastAsia" w:cs="宋体"/>
          <w:sz w:val="24"/>
          <w:szCs w:val="24"/>
        </w:rPr>
        <w:t>H＝E×0.</w:t>
      </w:r>
      <w:r>
        <w:rPr>
          <w:rFonts w:hint="eastAsia" w:cs="宋体"/>
          <w:sz w:val="24"/>
          <w:szCs w:val="24"/>
          <w:lang w:val="en-US" w:eastAsia="zh-CN"/>
        </w:rPr>
        <w:t>15</w:t>
      </w:r>
      <w:r>
        <w:rPr>
          <w:rFonts w:hint="eastAsia" w:cs="宋体"/>
          <w:sz w:val="24"/>
          <w:szCs w:val="24"/>
        </w:rPr>
        <w:t>%÷当年天数</w:t>
      </w:r>
    </w:p>
    <w:p>
      <w:pPr>
        <w:pStyle w:val="21"/>
        <w:ind w:firstLine="480"/>
        <w:rPr>
          <w:rFonts w:cs="宋体"/>
          <w:sz w:val="24"/>
          <w:szCs w:val="24"/>
        </w:rPr>
      </w:pPr>
      <w:r>
        <w:rPr>
          <w:rFonts w:hint="eastAsia" w:cs="宋体"/>
          <w:sz w:val="24"/>
          <w:szCs w:val="24"/>
        </w:rPr>
        <w:t>H为每日应计提的基金管理费</w:t>
      </w:r>
    </w:p>
    <w:p>
      <w:pPr>
        <w:pStyle w:val="21"/>
        <w:ind w:firstLine="480"/>
        <w:rPr>
          <w:rFonts w:cs="宋体"/>
          <w:sz w:val="24"/>
          <w:szCs w:val="24"/>
        </w:rPr>
      </w:pPr>
      <w:r>
        <w:rPr>
          <w:rFonts w:hint="eastAsia" w:cs="宋体"/>
          <w:sz w:val="24"/>
          <w:szCs w:val="24"/>
        </w:rPr>
        <w:t>E为前一日基金资产净值-前一日所持有目标ETF基金份额部分的基金资产净值，若为负数，则E取0。</w:t>
      </w:r>
    </w:p>
    <w:p>
      <w:pPr>
        <w:pStyle w:val="21"/>
        <w:ind w:firstLine="480"/>
        <w:rPr>
          <w:rFonts w:cs="宋体"/>
          <w:sz w:val="24"/>
          <w:szCs w:val="24"/>
        </w:rPr>
      </w:pPr>
      <w:r>
        <w:rPr>
          <w:rFonts w:hint="eastAsia" w:cs="宋体"/>
          <w:sz w:val="24"/>
          <w:szCs w:val="24"/>
        </w:rPr>
        <w:t>基金管理费每日计提，逐日累计至每月月末，按月支付。由基金托管人根据与基金管理人核对一致的财务数据，</w:t>
      </w:r>
      <w:r>
        <w:rPr>
          <w:bCs/>
          <w:sz w:val="24"/>
        </w:rPr>
        <w:t>托管人按照双方约定的时间，自动在次月按照指定的账户路径从基金财产中一次性支付给基金管理人，基金管理人无需再出具划款指令，支付时间及收款账户信息由基金管理人通过书面形式另行通知托管人</w:t>
      </w:r>
      <w:r>
        <w:rPr>
          <w:sz w:val="24"/>
        </w:rPr>
        <w:t>。若遇法定节假日、休息日或不可抗力等致使无法按时支付的，顺延至最近可支付日支付。</w:t>
      </w:r>
    </w:p>
    <w:p>
      <w:pPr>
        <w:pStyle w:val="21"/>
        <w:ind w:firstLine="480"/>
        <w:rPr>
          <w:rFonts w:cs="宋体"/>
          <w:sz w:val="24"/>
          <w:szCs w:val="24"/>
        </w:rPr>
      </w:pPr>
      <w:r>
        <w:rPr>
          <w:rFonts w:hint="eastAsia" w:cs="宋体"/>
          <w:sz w:val="24"/>
          <w:szCs w:val="24"/>
        </w:rPr>
        <w:t>2、基金托管人的托管费</w:t>
      </w:r>
    </w:p>
    <w:p>
      <w:pPr>
        <w:pStyle w:val="21"/>
        <w:ind w:firstLine="480"/>
        <w:rPr>
          <w:rFonts w:cs="宋体"/>
          <w:sz w:val="24"/>
          <w:szCs w:val="24"/>
        </w:rPr>
      </w:pPr>
      <w:r>
        <w:rPr>
          <w:rFonts w:hint="eastAsia" w:cs="宋体"/>
          <w:sz w:val="24"/>
          <w:szCs w:val="24"/>
        </w:rPr>
        <w:t>本基金基金财产中投资于目标ETF的部分不收取托管费。本基金托管费按前一日基金资产净值扣除所持有目标ETF基金份额部分的基金资产净值后的余额（若为负数，则取0）的0.</w:t>
      </w:r>
      <w:r>
        <w:rPr>
          <w:rFonts w:hint="eastAsia" w:cs="宋体"/>
          <w:sz w:val="24"/>
          <w:szCs w:val="24"/>
          <w:lang w:val="en-US" w:eastAsia="zh-CN"/>
        </w:rPr>
        <w:t>05</w:t>
      </w:r>
      <w:r>
        <w:rPr>
          <w:rFonts w:hint="eastAsia" w:cs="宋体"/>
          <w:sz w:val="24"/>
          <w:szCs w:val="24"/>
        </w:rPr>
        <w:t>%年费率计提。托管费的计算方法如下：</w:t>
      </w:r>
    </w:p>
    <w:p>
      <w:pPr>
        <w:pStyle w:val="21"/>
        <w:ind w:firstLine="480"/>
        <w:rPr>
          <w:rFonts w:cs="宋体"/>
          <w:sz w:val="24"/>
          <w:szCs w:val="24"/>
        </w:rPr>
      </w:pPr>
      <w:r>
        <w:rPr>
          <w:rFonts w:hint="eastAsia" w:cs="宋体"/>
          <w:sz w:val="24"/>
          <w:szCs w:val="24"/>
        </w:rPr>
        <w:t>H＝E×0.</w:t>
      </w:r>
      <w:r>
        <w:rPr>
          <w:rFonts w:hint="eastAsia" w:cs="宋体"/>
          <w:sz w:val="24"/>
          <w:szCs w:val="24"/>
          <w:lang w:val="en-US" w:eastAsia="zh-CN"/>
        </w:rPr>
        <w:t>05</w:t>
      </w:r>
      <w:r>
        <w:rPr>
          <w:rFonts w:hint="eastAsia" w:cs="宋体"/>
          <w:sz w:val="24"/>
          <w:szCs w:val="24"/>
        </w:rPr>
        <w:t>%÷当年天数</w:t>
      </w:r>
    </w:p>
    <w:p>
      <w:pPr>
        <w:pStyle w:val="21"/>
        <w:ind w:firstLine="480"/>
        <w:rPr>
          <w:rFonts w:cs="宋体"/>
          <w:sz w:val="24"/>
          <w:szCs w:val="24"/>
        </w:rPr>
      </w:pPr>
      <w:r>
        <w:rPr>
          <w:rFonts w:hint="eastAsia" w:cs="宋体"/>
          <w:sz w:val="24"/>
          <w:szCs w:val="24"/>
        </w:rPr>
        <w:t>H为每日应计提的基金托管费</w:t>
      </w:r>
    </w:p>
    <w:p>
      <w:pPr>
        <w:pStyle w:val="21"/>
        <w:ind w:firstLine="480"/>
        <w:rPr>
          <w:rFonts w:cs="宋体"/>
          <w:sz w:val="24"/>
          <w:szCs w:val="24"/>
        </w:rPr>
      </w:pPr>
      <w:r>
        <w:rPr>
          <w:rFonts w:hint="eastAsia" w:cs="宋体"/>
          <w:sz w:val="24"/>
          <w:szCs w:val="24"/>
        </w:rPr>
        <w:t>E为前一日基金资产净值-前一日所持有目标ETF基金份额部分的基金资产净值，若为负数，则E取0。</w:t>
      </w:r>
    </w:p>
    <w:p>
      <w:pPr>
        <w:pStyle w:val="21"/>
        <w:ind w:firstLine="480"/>
        <w:rPr>
          <w:sz w:val="24"/>
        </w:rPr>
      </w:pPr>
      <w:r>
        <w:rPr>
          <w:rFonts w:hint="eastAsia" w:ascii="Times New Roman" w:hAnsi="Times New Roman" w:cs="宋体"/>
          <w:sz w:val="24"/>
          <w:szCs w:val="24"/>
        </w:rPr>
        <w:t>基金托管费每日计提，逐日累计至每月月末，按月支付。由基金托管人根据与基金管理人核对一致的财务数据，</w:t>
      </w:r>
      <w:r>
        <w:rPr>
          <w:bCs/>
          <w:sz w:val="24"/>
        </w:rPr>
        <w:t>托管人按照双方约定的时间，自动在次月按照指定的账户路径从基金财产中一次性支取，基金管理人无需再出具划款指令，支付时间由基金管理人通过书面形式另行通知托管人</w:t>
      </w:r>
      <w:r>
        <w:rPr>
          <w:sz w:val="24"/>
        </w:rPr>
        <w:t>。若遇法定节假日、休息日或不可抗力等致使无法按时支付的，顺延至最近可支付日支付。</w:t>
      </w:r>
    </w:p>
    <w:p>
      <w:pPr>
        <w:pStyle w:val="21"/>
        <w:ind w:firstLine="480"/>
        <w:rPr>
          <w:rFonts w:ascii="Times New Roman" w:hAnsi="Times New Roman" w:cs="宋体"/>
          <w:sz w:val="24"/>
          <w:szCs w:val="24"/>
        </w:rPr>
      </w:pPr>
      <w:r>
        <w:rPr>
          <w:rFonts w:hint="eastAsia" w:ascii="Times New Roman" w:hAnsi="Times New Roman" w:cs="宋体"/>
          <w:sz w:val="24"/>
          <w:szCs w:val="24"/>
        </w:rPr>
        <w:t>3、销售服务费</w:t>
      </w:r>
    </w:p>
    <w:p>
      <w:pPr>
        <w:pStyle w:val="21"/>
        <w:ind w:firstLine="480"/>
        <w:rPr>
          <w:rFonts w:cs="宋体"/>
          <w:sz w:val="24"/>
          <w:szCs w:val="24"/>
        </w:rPr>
      </w:pPr>
      <w:r>
        <w:rPr>
          <w:rFonts w:hint="eastAsia" w:cs="宋体"/>
          <w:sz w:val="24"/>
          <w:szCs w:val="24"/>
        </w:rPr>
        <w:t>本基金A类基金份额不收取销售服务费，C类基金份额的销售服务费年费率为0.25%。</w:t>
      </w:r>
    </w:p>
    <w:p>
      <w:pPr>
        <w:pStyle w:val="21"/>
        <w:ind w:firstLine="480"/>
        <w:rPr>
          <w:rFonts w:cs="宋体"/>
          <w:sz w:val="24"/>
          <w:szCs w:val="24"/>
        </w:rPr>
      </w:pPr>
      <w:r>
        <w:rPr>
          <w:rFonts w:hint="eastAsia" w:cs="宋体"/>
          <w:sz w:val="24"/>
          <w:szCs w:val="24"/>
        </w:rPr>
        <w:t>C类基金份额的销售服务费按前一日C类基金份额基金资产净值的相应年费率计提。计算方法如下：</w:t>
      </w:r>
    </w:p>
    <w:p>
      <w:pPr>
        <w:pStyle w:val="21"/>
        <w:ind w:firstLine="480"/>
        <w:rPr>
          <w:rFonts w:cs="宋体"/>
          <w:sz w:val="24"/>
          <w:szCs w:val="24"/>
        </w:rPr>
      </w:pPr>
      <w:r>
        <w:rPr>
          <w:rFonts w:hint="eastAsia" w:cs="宋体"/>
          <w:sz w:val="24"/>
          <w:szCs w:val="24"/>
        </w:rPr>
        <w:t>H＝E×0.25%÷当年天数</w:t>
      </w:r>
    </w:p>
    <w:p>
      <w:pPr>
        <w:pStyle w:val="21"/>
        <w:ind w:firstLine="480"/>
        <w:rPr>
          <w:rFonts w:cs="宋体"/>
          <w:sz w:val="24"/>
          <w:szCs w:val="24"/>
        </w:rPr>
      </w:pPr>
      <w:r>
        <w:rPr>
          <w:rFonts w:hint="eastAsia" w:cs="宋体"/>
          <w:sz w:val="24"/>
          <w:szCs w:val="24"/>
        </w:rPr>
        <w:t>H为C类基金份额每日应计提的销售服务费</w:t>
      </w:r>
    </w:p>
    <w:p>
      <w:pPr>
        <w:pStyle w:val="21"/>
        <w:ind w:firstLine="480"/>
        <w:rPr>
          <w:rFonts w:cs="宋体"/>
          <w:sz w:val="24"/>
          <w:szCs w:val="24"/>
        </w:rPr>
      </w:pPr>
      <w:r>
        <w:rPr>
          <w:rFonts w:hint="eastAsia" w:cs="宋体"/>
          <w:sz w:val="24"/>
          <w:szCs w:val="24"/>
        </w:rPr>
        <w:t>E为C类基金份额前一日基金资产净值</w:t>
      </w:r>
    </w:p>
    <w:p>
      <w:pPr>
        <w:pStyle w:val="21"/>
        <w:ind w:firstLine="480"/>
        <w:rPr>
          <w:rFonts w:ascii="Times New Roman" w:hAnsi="Times New Roman" w:cs="宋体"/>
          <w:sz w:val="24"/>
          <w:szCs w:val="24"/>
        </w:rPr>
      </w:pPr>
      <w:r>
        <w:rPr>
          <w:rFonts w:hint="eastAsia" w:ascii="Times New Roman" w:hAnsi="Times New Roman" w:cs="宋体"/>
          <w:sz w:val="24"/>
          <w:szCs w:val="24"/>
        </w:rPr>
        <w:t>销售服务费每日计提，逐日累计至每月月末，按月支付。由基金托管人根据与基金管理人核对一致的财务数据，</w:t>
      </w:r>
      <w:r>
        <w:rPr>
          <w:bCs/>
          <w:sz w:val="24"/>
        </w:rPr>
        <w:t>托管人按照双方约定的时间，自动在次月按照指定的账户路径从基金财产中一次性支付给登记机构，</w:t>
      </w:r>
      <w:r>
        <w:rPr>
          <w:rFonts w:hint="eastAsia"/>
          <w:bCs/>
          <w:sz w:val="24"/>
          <w:szCs w:val="24"/>
        </w:rPr>
        <w:t>由登记机构代付给各个基金销售机构。</w:t>
      </w:r>
      <w:r>
        <w:rPr>
          <w:bCs/>
          <w:sz w:val="24"/>
        </w:rPr>
        <w:t>基金管理人无需再出具划款指令，支付时间及收款账户信息由基金管理人通过书面形式另行通知托管人</w:t>
      </w:r>
      <w:r>
        <w:rPr>
          <w:sz w:val="24"/>
        </w:rPr>
        <w:t>。若遇法定节假日、休息日或不可抗力等致使无法按时支付的，顺延至最近可支付日支付。</w:t>
      </w:r>
    </w:p>
    <w:p>
      <w:pPr>
        <w:pStyle w:val="21"/>
        <w:ind w:firstLine="480"/>
        <w:rPr>
          <w:rFonts w:ascii="Times New Roman" w:hAnsi="Times New Roman" w:cs="宋体"/>
          <w:sz w:val="24"/>
          <w:szCs w:val="24"/>
        </w:rPr>
      </w:pPr>
      <w:r>
        <w:rPr>
          <w:rFonts w:hint="eastAsia" w:ascii="Times New Roman" w:hAnsi="Times New Roman" w:cs="宋体"/>
          <w:sz w:val="24"/>
          <w:szCs w:val="24"/>
        </w:rPr>
        <w:t>上述“一、基金费用的种类”中第4－11项费用，根据有关法规及相应协议规定，按费用实际支出金额列入当期费用，由基金托管人从基金财产中支付。</w:t>
      </w:r>
    </w:p>
    <w:p>
      <w:pPr>
        <w:pStyle w:val="21"/>
        <w:ind w:firstLine="480"/>
        <w:rPr>
          <w:rFonts w:ascii="Times New Roman" w:hAnsi="Times New Roman" w:cs="宋体"/>
          <w:sz w:val="24"/>
          <w:szCs w:val="24"/>
        </w:rPr>
      </w:pPr>
      <w:r>
        <w:rPr>
          <w:rFonts w:hint="eastAsia" w:ascii="Times New Roman" w:hAnsi="Times New Roman" w:cs="宋体"/>
          <w:sz w:val="24"/>
          <w:szCs w:val="24"/>
        </w:rPr>
        <w:t>三、不列入基金费用的项目</w:t>
      </w:r>
    </w:p>
    <w:p>
      <w:pPr>
        <w:pStyle w:val="21"/>
        <w:ind w:firstLine="480"/>
        <w:rPr>
          <w:rFonts w:ascii="Times New Roman" w:hAnsi="Times New Roman" w:cs="宋体"/>
          <w:sz w:val="24"/>
          <w:szCs w:val="24"/>
        </w:rPr>
      </w:pPr>
      <w:r>
        <w:rPr>
          <w:rFonts w:hint="eastAsia" w:ascii="Times New Roman" w:hAnsi="Times New Roman" w:cs="宋体"/>
          <w:sz w:val="24"/>
          <w:szCs w:val="24"/>
        </w:rPr>
        <w:t>1、基金管理人和基金托管人因未履行或未完全履行义务导致的费用支出或基金财产的损失；</w:t>
      </w:r>
    </w:p>
    <w:p>
      <w:pPr>
        <w:pStyle w:val="21"/>
        <w:ind w:firstLine="480"/>
        <w:rPr>
          <w:rFonts w:ascii="Times New Roman" w:hAnsi="Times New Roman" w:cs="宋体"/>
          <w:sz w:val="24"/>
          <w:szCs w:val="24"/>
        </w:rPr>
      </w:pPr>
      <w:r>
        <w:rPr>
          <w:rFonts w:hint="eastAsia" w:ascii="Times New Roman" w:hAnsi="Times New Roman" w:cs="宋体"/>
          <w:sz w:val="24"/>
          <w:szCs w:val="24"/>
        </w:rPr>
        <w:t>2、基金管理人和基金托管人处理与基金运作无关的事项发生的费用；</w:t>
      </w:r>
    </w:p>
    <w:p>
      <w:pPr>
        <w:pStyle w:val="21"/>
        <w:ind w:firstLine="480"/>
        <w:rPr>
          <w:rFonts w:ascii="Times New Roman" w:hAnsi="Times New Roman" w:cs="宋体"/>
          <w:sz w:val="24"/>
          <w:szCs w:val="24"/>
        </w:rPr>
      </w:pPr>
      <w:r>
        <w:rPr>
          <w:rFonts w:hint="eastAsia" w:ascii="Times New Roman" w:hAnsi="Times New Roman" w:cs="宋体"/>
          <w:sz w:val="24"/>
          <w:szCs w:val="24"/>
        </w:rPr>
        <w:t>3、基金合同生效前的相关费用；</w:t>
      </w:r>
    </w:p>
    <w:p>
      <w:pPr>
        <w:pStyle w:val="21"/>
        <w:ind w:firstLine="480"/>
        <w:rPr>
          <w:rFonts w:ascii="Times New Roman" w:hAnsi="Times New Roman" w:cs="宋体"/>
          <w:sz w:val="24"/>
          <w:szCs w:val="24"/>
        </w:rPr>
      </w:pPr>
      <w:r>
        <w:rPr>
          <w:rFonts w:hint="eastAsia" w:ascii="Times New Roman" w:hAnsi="Times New Roman" w:cs="宋体"/>
          <w:sz w:val="24"/>
          <w:szCs w:val="24"/>
        </w:rPr>
        <w:t>4、其他根据相关法律法规及中国证监会的有关规定不得列入基金费用的项目。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四、实施侧袋机制期间的基金费用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本基金实施侧袋机制的，与侧袋账户有关的费用可以从侧袋账户中列支，但应待侧袋账户资产变现后方可列支，有关费用可酌情收取或减免，但不得收取基金管理费，详见本招募说明书“第十六部分  侧袋机制”的规定或相关公告。</w:t>
      </w:r>
    </w:p>
    <w:p>
      <w:pPr>
        <w:adjustRightInd w:val="0"/>
        <w:snapToGrid w:val="0"/>
        <w:spacing w:line="360" w:lineRule="auto"/>
        <w:ind w:firstLine="480" w:firstLineChars="200"/>
        <w:rPr>
          <w:rFonts w:ascii="宋体" w:hAnsi="宋体" w:cs="宋体"/>
          <w:bCs/>
          <w:sz w:val="24"/>
        </w:rPr>
      </w:pPr>
      <w:r>
        <w:rPr>
          <w:rFonts w:hint="eastAsia" w:ascii="宋体" w:hAnsi="宋体" w:cs="宋体"/>
          <w:sz w:val="24"/>
        </w:rPr>
        <w:t>五、</w:t>
      </w:r>
      <w:r>
        <w:rPr>
          <w:rFonts w:hint="eastAsia" w:ascii="宋体" w:hAnsi="宋体" w:cs="宋体"/>
          <w:bCs/>
          <w:sz w:val="24"/>
        </w:rPr>
        <w:t>基金税收</w:t>
      </w:r>
    </w:p>
    <w:p>
      <w:pPr>
        <w:pStyle w:val="21"/>
        <w:adjustRightInd w:val="0"/>
        <w:snapToGrid w:val="0"/>
        <w:ind w:firstLine="480"/>
        <w:jc w:val="left"/>
        <w:rPr>
          <w:sz w:val="24"/>
        </w:rPr>
      </w:pPr>
      <w:r>
        <w:rPr>
          <w:rFonts w:hint="eastAsia" w:cs="宋体"/>
          <w:bCs/>
          <w:sz w:val="24"/>
        </w:rPr>
        <w:t>本基金运作过程中涉及的各纳税主体，其纳税义务按国家税收法律、法规执行。</w:t>
      </w:r>
      <w:r>
        <w:rPr>
          <w:rFonts w:hint="eastAsia" w:cs="宋体"/>
          <w:sz w:val="24"/>
        </w:rPr>
        <w:t>基金财产投资的相关税收，由基金份额持有人承担，基金管理人或者其他扣缴义务人按照国家有关税收征收的规定代扣代缴。</w:t>
      </w:r>
    </w:p>
    <w:p>
      <w:pPr>
        <w:pStyle w:val="2"/>
        <w:spacing w:line="360" w:lineRule="auto"/>
        <w:jc w:val="center"/>
        <w:rPr>
          <w:rFonts w:ascii="宋体" w:hAnsi="宋体"/>
        </w:rPr>
      </w:pPr>
      <w:r>
        <w:rPr>
          <w:rFonts w:ascii="宋体" w:hAnsi="宋体"/>
          <w:sz w:val="24"/>
        </w:rPr>
        <w:br w:type="page"/>
      </w:r>
      <w:bookmarkStart w:id="48" w:name="_Toc103003355"/>
      <w:r>
        <w:rPr>
          <w:rFonts w:ascii="宋体" w:hAnsi="宋体"/>
        </w:rPr>
        <w:t>第</w:t>
      </w:r>
      <w:r>
        <w:rPr>
          <w:rFonts w:hint="eastAsia" w:ascii="宋体" w:hAnsi="宋体"/>
        </w:rPr>
        <w:t>十三</w:t>
      </w:r>
      <w:r>
        <w:rPr>
          <w:rFonts w:ascii="宋体" w:hAnsi="宋体"/>
        </w:rPr>
        <w:t>部分</w:t>
      </w:r>
      <w:r>
        <w:rPr>
          <w:rFonts w:hint="eastAsia" w:ascii="宋体" w:hAnsi="宋体"/>
        </w:rPr>
        <w:t xml:space="preserve">  基金的收益与分配</w:t>
      </w:r>
      <w:bookmarkEnd w:id="48"/>
    </w:p>
    <w:p>
      <w:pPr>
        <w:pStyle w:val="21"/>
        <w:adjustRightInd w:val="0"/>
        <w:snapToGrid w:val="0"/>
        <w:ind w:firstLine="480"/>
        <w:rPr>
          <w:sz w:val="24"/>
        </w:rPr>
      </w:pPr>
    </w:p>
    <w:p>
      <w:pPr>
        <w:pStyle w:val="21"/>
        <w:adjustRightInd w:val="0"/>
        <w:snapToGrid w:val="0"/>
        <w:ind w:firstLine="480"/>
        <w:rPr>
          <w:bCs/>
          <w:sz w:val="24"/>
        </w:rPr>
      </w:pPr>
      <w:r>
        <w:rPr>
          <w:rFonts w:hint="eastAsia"/>
          <w:bCs/>
          <w:sz w:val="24"/>
        </w:rPr>
        <w:t>一、基金利润的构成</w:t>
      </w:r>
    </w:p>
    <w:p>
      <w:pPr>
        <w:pStyle w:val="21"/>
        <w:adjustRightInd w:val="0"/>
        <w:snapToGrid w:val="0"/>
        <w:ind w:firstLine="480"/>
        <w:rPr>
          <w:bCs/>
          <w:sz w:val="24"/>
        </w:rPr>
      </w:pPr>
      <w:r>
        <w:rPr>
          <w:rFonts w:hint="eastAsia"/>
          <w:bCs/>
          <w:sz w:val="24"/>
        </w:rPr>
        <w:t>基金利润指基金利息收入、投资收益、公允价值变动收益和其他收入扣除相关费用后的余额，基金已实现收益指基金利润减去公允价值变动收益后的余额。</w:t>
      </w:r>
    </w:p>
    <w:p>
      <w:pPr>
        <w:pStyle w:val="21"/>
        <w:adjustRightInd w:val="0"/>
        <w:snapToGrid w:val="0"/>
        <w:ind w:firstLine="480"/>
        <w:rPr>
          <w:bCs/>
          <w:sz w:val="24"/>
        </w:rPr>
      </w:pPr>
      <w:r>
        <w:rPr>
          <w:rFonts w:hint="eastAsia"/>
          <w:bCs/>
          <w:sz w:val="24"/>
        </w:rPr>
        <w:t>二、基金可供分配利润</w:t>
      </w:r>
    </w:p>
    <w:p>
      <w:pPr>
        <w:pStyle w:val="21"/>
        <w:adjustRightInd w:val="0"/>
        <w:snapToGrid w:val="0"/>
        <w:ind w:firstLine="480"/>
        <w:rPr>
          <w:bCs/>
          <w:sz w:val="24"/>
        </w:rPr>
      </w:pPr>
      <w:r>
        <w:rPr>
          <w:rFonts w:hint="eastAsia"/>
          <w:bCs/>
          <w:sz w:val="24"/>
        </w:rPr>
        <w:t>基金可供分配利润指截至收益分配基准日基金未分配利润与未分配利润中已实现收益的孰低数。</w:t>
      </w:r>
    </w:p>
    <w:p>
      <w:pPr>
        <w:pStyle w:val="21"/>
        <w:adjustRightInd w:val="0"/>
        <w:snapToGrid w:val="0"/>
        <w:ind w:firstLine="480"/>
        <w:rPr>
          <w:bCs/>
          <w:sz w:val="24"/>
        </w:rPr>
      </w:pPr>
      <w:r>
        <w:rPr>
          <w:rFonts w:hint="eastAsia"/>
          <w:bCs/>
          <w:sz w:val="24"/>
        </w:rPr>
        <w:t>三、基金收益分配原则</w:t>
      </w:r>
    </w:p>
    <w:p>
      <w:pPr>
        <w:pStyle w:val="21"/>
        <w:adjustRightInd w:val="0"/>
        <w:snapToGrid w:val="0"/>
        <w:ind w:firstLine="480"/>
        <w:rPr>
          <w:bCs/>
          <w:sz w:val="24"/>
        </w:rPr>
      </w:pPr>
      <w:r>
        <w:rPr>
          <w:rFonts w:hint="eastAsia"/>
          <w:bCs/>
          <w:sz w:val="24"/>
        </w:rPr>
        <w:t>1、本基金在符合有关基金分红条件的前提下可进行收益分配，每次收益分配比例等具体分红方案见基金管理人根据基金运作情况届时不定期发布的相关分红公告；</w:t>
      </w:r>
    </w:p>
    <w:p>
      <w:pPr>
        <w:pStyle w:val="21"/>
        <w:adjustRightInd w:val="0"/>
        <w:snapToGrid w:val="0"/>
        <w:ind w:firstLine="480"/>
        <w:rPr>
          <w:bCs/>
          <w:sz w:val="24"/>
        </w:rPr>
      </w:pPr>
      <w:r>
        <w:rPr>
          <w:rFonts w:hint="eastAsia"/>
          <w:bCs/>
          <w:sz w:val="24"/>
        </w:rPr>
        <w:t>2、本基金收益分配方式分两种：现金分红与红利再投资，投资人可选择现金红利或将现金红利自动转为相应类别的基金份额进行再投资；若投资人不选择，本基金默认的收益分配方式是现金分红；红利再投资方式免收再投资的费用；</w:t>
      </w:r>
    </w:p>
    <w:p>
      <w:pPr>
        <w:pStyle w:val="21"/>
        <w:adjustRightInd w:val="0"/>
        <w:snapToGrid w:val="0"/>
        <w:ind w:firstLine="480"/>
        <w:rPr>
          <w:bCs/>
          <w:sz w:val="24"/>
        </w:rPr>
      </w:pPr>
      <w:r>
        <w:rPr>
          <w:rFonts w:hint="eastAsia"/>
          <w:bCs/>
          <w:sz w:val="24"/>
        </w:rPr>
        <w:t>3、由于本基金A类基金份额不收取销售服务费，而C类基金份额收取销售服务费，各基金份额类别对应的可供分配利润将有所不同，本基金同一类别的每一基金份额享有同等分配权；</w:t>
      </w:r>
    </w:p>
    <w:p>
      <w:pPr>
        <w:pStyle w:val="21"/>
        <w:adjustRightInd w:val="0"/>
        <w:snapToGrid w:val="0"/>
        <w:ind w:firstLine="480"/>
        <w:rPr>
          <w:bCs/>
          <w:sz w:val="24"/>
        </w:rPr>
      </w:pPr>
      <w:r>
        <w:rPr>
          <w:rFonts w:hint="eastAsia"/>
          <w:bCs/>
          <w:sz w:val="24"/>
        </w:rPr>
        <w:t>4、法律法规或监管机关另有规定的，从其规定。</w:t>
      </w:r>
    </w:p>
    <w:p>
      <w:pPr>
        <w:pStyle w:val="21"/>
        <w:adjustRightInd w:val="0"/>
        <w:snapToGrid w:val="0"/>
        <w:ind w:firstLine="480"/>
        <w:rPr>
          <w:bCs/>
          <w:sz w:val="24"/>
        </w:rPr>
      </w:pPr>
      <w:r>
        <w:rPr>
          <w:rFonts w:hint="eastAsia"/>
          <w:bCs/>
          <w:sz w:val="24"/>
        </w:rPr>
        <w:t>在不违反法律法规且对基金份额持有人利益无实质性不利影响的前提下，基金管理人与基金托管人协商一致后，可酌情调整以上基金收益分配原则和支付方式，并于变更实施日前在规定媒介上公告，且不需召开基金份额持有人大会。</w:t>
      </w:r>
    </w:p>
    <w:p>
      <w:pPr>
        <w:pStyle w:val="21"/>
        <w:adjustRightInd w:val="0"/>
        <w:snapToGrid w:val="0"/>
        <w:ind w:firstLine="480"/>
        <w:rPr>
          <w:bCs/>
          <w:sz w:val="24"/>
        </w:rPr>
      </w:pPr>
      <w:r>
        <w:rPr>
          <w:rFonts w:hint="eastAsia"/>
          <w:bCs/>
          <w:sz w:val="24"/>
        </w:rPr>
        <w:t>四、收益分配方案</w:t>
      </w:r>
    </w:p>
    <w:p>
      <w:pPr>
        <w:pStyle w:val="21"/>
        <w:adjustRightInd w:val="0"/>
        <w:snapToGrid w:val="0"/>
        <w:ind w:firstLine="480"/>
        <w:rPr>
          <w:bCs/>
          <w:sz w:val="24"/>
        </w:rPr>
      </w:pPr>
      <w:r>
        <w:rPr>
          <w:rFonts w:hint="eastAsia"/>
          <w:bCs/>
          <w:sz w:val="24"/>
        </w:rPr>
        <w:t>本基金各类基金份额的收益分配方案中应载明截至收益分配基准日的可供分配利润、基金收益分配对象、分配时间、分配数额及比例、分配方式等内容。</w:t>
      </w:r>
    </w:p>
    <w:p>
      <w:pPr>
        <w:pStyle w:val="21"/>
        <w:adjustRightInd w:val="0"/>
        <w:snapToGrid w:val="0"/>
        <w:ind w:firstLine="480"/>
        <w:rPr>
          <w:bCs/>
          <w:sz w:val="24"/>
        </w:rPr>
      </w:pPr>
      <w:r>
        <w:rPr>
          <w:rFonts w:hint="eastAsia"/>
          <w:bCs/>
          <w:sz w:val="24"/>
        </w:rPr>
        <w:t>五、收益分配方案的确定、公告与实施</w:t>
      </w:r>
    </w:p>
    <w:p>
      <w:pPr>
        <w:pStyle w:val="21"/>
        <w:adjustRightInd w:val="0"/>
        <w:snapToGrid w:val="0"/>
        <w:ind w:firstLine="480"/>
        <w:rPr>
          <w:bCs/>
          <w:sz w:val="24"/>
        </w:rPr>
      </w:pPr>
      <w:r>
        <w:rPr>
          <w:rFonts w:hint="eastAsia"/>
          <w:bCs/>
          <w:sz w:val="24"/>
        </w:rPr>
        <w:t>本基金收益分配方案由基金管理人拟定，并由基金托管人复核，依照《信息披露办法》的有关规定在规定媒介公告。</w:t>
      </w:r>
    </w:p>
    <w:p>
      <w:pPr>
        <w:pStyle w:val="21"/>
        <w:adjustRightInd w:val="0"/>
        <w:snapToGrid w:val="0"/>
        <w:ind w:firstLine="480"/>
        <w:rPr>
          <w:bCs/>
          <w:sz w:val="24"/>
        </w:rPr>
      </w:pPr>
      <w:r>
        <w:rPr>
          <w:rFonts w:hint="eastAsia"/>
          <w:bCs/>
          <w:sz w:val="24"/>
        </w:rPr>
        <w:t>六、基金收益分配中发生的费用</w:t>
      </w:r>
    </w:p>
    <w:p>
      <w:pPr>
        <w:pStyle w:val="21"/>
        <w:adjustRightInd w:val="0"/>
        <w:snapToGrid w:val="0"/>
        <w:ind w:firstLine="480"/>
        <w:rPr>
          <w:bCs/>
          <w:sz w:val="24"/>
        </w:rPr>
      </w:pPr>
      <w:r>
        <w:rPr>
          <w:rFonts w:hint="eastAsia"/>
          <w:bCs/>
          <w:sz w:val="24"/>
        </w:rPr>
        <w:t>基金收益分配时所发生的银行转账或其他手续费用由投资人自行承担。当投资人的现金红利小于一定金额，不足以支付银行转账或其他手续费用时，基金登记机构可将该基金份额持有人的现金红利转为相应类别的基金份额。红利再投资的计算方法，依照登记机构相关业务规则执行。</w:t>
      </w:r>
    </w:p>
    <w:p>
      <w:pPr>
        <w:pStyle w:val="21"/>
        <w:adjustRightInd w:val="0"/>
        <w:snapToGrid w:val="0"/>
        <w:ind w:firstLine="480"/>
        <w:rPr>
          <w:sz w:val="24"/>
        </w:rPr>
      </w:pPr>
      <w:r>
        <w:rPr>
          <w:rFonts w:hint="eastAsia"/>
          <w:sz w:val="24"/>
        </w:rPr>
        <w:t>七、实施侧袋机制期间的收益分配</w:t>
      </w:r>
    </w:p>
    <w:p>
      <w:pPr>
        <w:pStyle w:val="21"/>
        <w:adjustRightInd w:val="0"/>
        <w:snapToGrid w:val="0"/>
        <w:ind w:firstLine="480"/>
        <w:rPr>
          <w:sz w:val="24"/>
        </w:rPr>
      </w:pPr>
      <w:r>
        <w:rPr>
          <w:rFonts w:hint="eastAsia"/>
          <w:sz w:val="24"/>
        </w:rPr>
        <w:t>本基金实施侧袋机制的，侧袋账户不进行收益分配，详见本招募说明书“第十六部分  侧袋机制”的规定或相关公告。</w:t>
      </w:r>
    </w:p>
    <w:p>
      <w:pPr>
        <w:pStyle w:val="2"/>
        <w:adjustRightInd w:val="0"/>
        <w:snapToGrid w:val="0"/>
        <w:spacing w:before="0" w:after="0" w:line="360" w:lineRule="auto"/>
        <w:jc w:val="center"/>
        <w:rPr>
          <w:rFonts w:ascii="宋体" w:hAnsi="宋体"/>
        </w:rPr>
      </w:pPr>
      <w:r>
        <w:rPr>
          <w:rFonts w:ascii="宋体" w:hAnsi="宋体"/>
        </w:rPr>
        <w:br w:type="page"/>
      </w:r>
      <w:bookmarkStart w:id="49" w:name="_Toc103003356"/>
      <w:r>
        <w:rPr>
          <w:rFonts w:ascii="宋体" w:hAnsi="宋体"/>
        </w:rPr>
        <w:t>第</w:t>
      </w:r>
      <w:r>
        <w:rPr>
          <w:rFonts w:hint="eastAsia" w:ascii="宋体" w:hAnsi="宋体"/>
        </w:rPr>
        <w:t>十四</w:t>
      </w:r>
      <w:r>
        <w:rPr>
          <w:rFonts w:ascii="宋体" w:hAnsi="宋体"/>
        </w:rPr>
        <w:t>部分</w:t>
      </w:r>
      <w:r>
        <w:rPr>
          <w:rFonts w:hint="eastAsia" w:ascii="宋体" w:hAnsi="宋体"/>
        </w:rPr>
        <w:t xml:space="preserve">  基金的会计与审计</w:t>
      </w:r>
      <w:bookmarkEnd w:id="49"/>
    </w:p>
    <w:p>
      <w:pPr>
        <w:pStyle w:val="21"/>
        <w:ind w:firstLine="480" w:firstLineChars="0"/>
        <w:rPr>
          <w:sz w:val="24"/>
        </w:rPr>
      </w:pPr>
    </w:p>
    <w:p>
      <w:pPr>
        <w:pStyle w:val="21"/>
        <w:ind w:firstLine="480"/>
        <w:rPr>
          <w:bCs/>
          <w:sz w:val="24"/>
        </w:rPr>
      </w:pPr>
      <w:r>
        <w:rPr>
          <w:rFonts w:hint="eastAsia"/>
          <w:bCs/>
          <w:sz w:val="24"/>
        </w:rPr>
        <w:t>一、基金会计政策</w:t>
      </w:r>
    </w:p>
    <w:p>
      <w:pPr>
        <w:pStyle w:val="21"/>
        <w:ind w:firstLine="480"/>
        <w:rPr>
          <w:bCs/>
          <w:sz w:val="24"/>
        </w:rPr>
      </w:pPr>
      <w:r>
        <w:rPr>
          <w:rFonts w:hint="eastAsia"/>
          <w:bCs/>
          <w:sz w:val="24"/>
        </w:rPr>
        <w:t>1、基金管理人为本基金的基金会计责任方；</w:t>
      </w:r>
    </w:p>
    <w:p>
      <w:pPr>
        <w:pStyle w:val="21"/>
        <w:ind w:firstLine="480"/>
        <w:rPr>
          <w:bCs/>
          <w:sz w:val="24"/>
        </w:rPr>
      </w:pPr>
      <w:r>
        <w:rPr>
          <w:rFonts w:hint="eastAsia"/>
          <w:bCs/>
          <w:sz w:val="24"/>
        </w:rPr>
        <w:t>2、基金的会计年度为公历年度的1月1日至12月31日；基金首次募集的会计年度按如下原则：如果基金合同生效少于2个月，可以并入下一个会计年度披露；</w:t>
      </w:r>
    </w:p>
    <w:p>
      <w:pPr>
        <w:pStyle w:val="21"/>
        <w:ind w:firstLine="480"/>
        <w:rPr>
          <w:bCs/>
          <w:sz w:val="24"/>
        </w:rPr>
      </w:pPr>
      <w:r>
        <w:rPr>
          <w:rFonts w:hint="eastAsia"/>
          <w:bCs/>
          <w:sz w:val="24"/>
        </w:rPr>
        <w:t>3、基金核算以人民币为记账本位币，以人民币元为记账单位；</w:t>
      </w:r>
    </w:p>
    <w:p>
      <w:pPr>
        <w:pStyle w:val="21"/>
        <w:ind w:firstLine="480"/>
        <w:rPr>
          <w:bCs/>
          <w:sz w:val="24"/>
        </w:rPr>
      </w:pPr>
      <w:r>
        <w:rPr>
          <w:rFonts w:hint="eastAsia"/>
          <w:bCs/>
          <w:sz w:val="24"/>
        </w:rPr>
        <w:t>4、会计制度执行国家有关会计制度；</w:t>
      </w:r>
    </w:p>
    <w:p>
      <w:pPr>
        <w:pStyle w:val="21"/>
        <w:ind w:firstLine="480"/>
        <w:rPr>
          <w:bCs/>
          <w:sz w:val="24"/>
        </w:rPr>
      </w:pPr>
      <w:r>
        <w:rPr>
          <w:rFonts w:hint="eastAsia"/>
          <w:bCs/>
          <w:sz w:val="24"/>
        </w:rPr>
        <w:t>5、本基金独立建账、独立核算；</w:t>
      </w:r>
    </w:p>
    <w:p>
      <w:pPr>
        <w:pStyle w:val="21"/>
        <w:ind w:firstLine="480"/>
        <w:rPr>
          <w:bCs/>
          <w:sz w:val="24"/>
        </w:rPr>
      </w:pPr>
      <w:r>
        <w:rPr>
          <w:rFonts w:hint="eastAsia"/>
          <w:bCs/>
          <w:sz w:val="24"/>
        </w:rPr>
        <w:t>6、基金管理人及基金托管人各自保留完整的会计账目、凭证并进行日常的会计核算，按照有关规定编制基金会计报表；</w:t>
      </w:r>
    </w:p>
    <w:p>
      <w:pPr>
        <w:pStyle w:val="21"/>
        <w:ind w:firstLine="480"/>
        <w:rPr>
          <w:bCs/>
          <w:sz w:val="24"/>
        </w:rPr>
      </w:pPr>
      <w:r>
        <w:rPr>
          <w:rFonts w:hint="eastAsia"/>
          <w:bCs/>
          <w:sz w:val="24"/>
        </w:rPr>
        <w:t>7、基金托管人每月与基金管理人就基金的会计核算、报表编制等进行核对并以书面方式确认。</w:t>
      </w:r>
    </w:p>
    <w:p>
      <w:pPr>
        <w:pStyle w:val="21"/>
        <w:ind w:firstLine="480"/>
        <w:rPr>
          <w:bCs/>
          <w:sz w:val="24"/>
        </w:rPr>
      </w:pPr>
      <w:r>
        <w:rPr>
          <w:rFonts w:hint="eastAsia"/>
          <w:bCs/>
          <w:sz w:val="24"/>
        </w:rPr>
        <w:t>法律法规或监管部门对基金会计政策另有规定的，从其规定。</w:t>
      </w:r>
    </w:p>
    <w:p>
      <w:pPr>
        <w:pStyle w:val="21"/>
        <w:ind w:firstLine="480"/>
        <w:rPr>
          <w:bCs/>
          <w:sz w:val="24"/>
        </w:rPr>
      </w:pPr>
      <w:r>
        <w:rPr>
          <w:rFonts w:hint="eastAsia"/>
          <w:bCs/>
          <w:sz w:val="24"/>
        </w:rPr>
        <w:t>二、基金的年度审计</w:t>
      </w:r>
    </w:p>
    <w:p>
      <w:pPr>
        <w:pStyle w:val="21"/>
        <w:ind w:firstLine="480"/>
        <w:rPr>
          <w:bCs/>
          <w:sz w:val="24"/>
        </w:rPr>
      </w:pPr>
      <w:r>
        <w:rPr>
          <w:rFonts w:hint="eastAsia"/>
          <w:bCs/>
          <w:sz w:val="24"/>
        </w:rPr>
        <w:t>1、基金管理人聘请与基金管理人、基金托管人相互独立的符合《中华人民共和国证券法》规定的会计师事务所及其注册会计师对本基金的年度财务报表进行审计。</w:t>
      </w:r>
    </w:p>
    <w:p>
      <w:pPr>
        <w:pStyle w:val="21"/>
        <w:ind w:firstLine="480"/>
        <w:rPr>
          <w:bCs/>
          <w:sz w:val="24"/>
        </w:rPr>
      </w:pPr>
      <w:r>
        <w:rPr>
          <w:rFonts w:hint="eastAsia"/>
          <w:bCs/>
          <w:sz w:val="24"/>
        </w:rPr>
        <w:t>2、会计师事务所更换经办注册会计师，应事先征得基金管理人同意。</w:t>
      </w:r>
    </w:p>
    <w:p>
      <w:pPr>
        <w:pStyle w:val="21"/>
        <w:ind w:firstLine="480"/>
        <w:rPr>
          <w:sz w:val="24"/>
        </w:rPr>
      </w:pPr>
      <w:r>
        <w:rPr>
          <w:rFonts w:hint="eastAsia"/>
          <w:bCs/>
          <w:sz w:val="24"/>
        </w:rPr>
        <w:t>3、基金管理人认为有充足理由更换会计师事务所，须通报基金托管人。更换会计师事务所需按照《信息披露办法》的有关规定在规定媒介公告。</w:t>
      </w:r>
    </w:p>
    <w:p>
      <w:pPr>
        <w:pStyle w:val="2"/>
        <w:adjustRightInd w:val="0"/>
        <w:snapToGrid w:val="0"/>
        <w:spacing w:before="0" w:after="0" w:line="360" w:lineRule="auto"/>
        <w:jc w:val="center"/>
        <w:rPr>
          <w:rFonts w:ascii="宋体" w:hAnsi="宋体"/>
        </w:rPr>
      </w:pPr>
      <w:r>
        <w:rPr>
          <w:rFonts w:ascii="宋体" w:hAnsi="宋体"/>
        </w:rPr>
        <w:br w:type="page"/>
      </w:r>
      <w:bookmarkStart w:id="50" w:name="_Toc103003357"/>
      <w:r>
        <w:rPr>
          <w:rFonts w:ascii="宋体" w:hAnsi="宋体"/>
        </w:rPr>
        <w:t>第</w:t>
      </w:r>
      <w:r>
        <w:rPr>
          <w:rFonts w:hint="eastAsia" w:ascii="宋体" w:hAnsi="宋体"/>
        </w:rPr>
        <w:t>十五</w:t>
      </w:r>
      <w:r>
        <w:rPr>
          <w:rFonts w:ascii="宋体" w:hAnsi="宋体"/>
        </w:rPr>
        <w:t>部分</w:t>
      </w:r>
      <w:r>
        <w:rPr>
          <w:rFonts w:hint="eastAsia" w:ascii="宋体" w:hAnsi="宋体"/>
        </w:rPr>
        <w:t xml:space="preserve">  基金的信息披露</w:t>
      </w:r>
      <w:bookmarkEnd w:id="50"/>
    </w:p>
    <w:p>
      <w:pPr>
        <w:pStyle w:val="21"/>
        <w:ind w:firstLine="480" w:firstLineChars="0"/>
        <w:rPr>
          <w:sz w:val="24"/>
        </w:rPr>
      </w:pPr>
    </w:p>
    <w:p>
      <w:pPr>
        <w:pStyle w:val="21"/>
        <w:ind w:firstLine="480"/>
        <w:rPr>
          <w:rFonts w:cs="宋体"/>
          <w:bCs/>
          <w:sz w:val="24"/>
          <w:szCs w:val="24"/>
        </w:rPr>
      </w:pPr>
      <w:r>
        <w:rPr>
          <w:rFonts w:hint="eastAsia" w:cs="宋体"/>
          <w:bCs/>
          <w:sz w:val="24"/>
          <w:szCs w:val="24"/>
        </w:rPr>
        <w:t>一、本基金的信息披露应符合《基金法》、《运作办法》、《信息披露办法》、《流动性风险管理规定》、基金合同及其他有关规定。相关法律法规关于信息披露的披露方式、登载媒介、报备方式等规定发生变化时，本基金从其最新规定。</w:t>
      </w:r>
    </w:p>
    <w:p>
      <w:pPr>
        <w:pStyle w:val="21"/>
        <w:ind w:firstLine="480"/>
        <w:rPr>
          <w:rFonts w:cs="宋体"/>
          <w:bCs/>
          <w:sz w:val="24"/>
          <w:szCs w:val="24"/>
        </w:rPr>
      </w:pPr>
      <w:r>
        <w:rPr>
          <w:rFonts w:hint="eastAsia" w:cs="宋体"/>
          <w:bCs/>
          <w:sz w:val="24"/>
          <w:szCs w:val="24"/>
        </w:rPr>
        <w:t>二、信息披露义务人</w:t>
      </w:r>
    </w:p>
    <w:p>
      <w:pPr>
        <w:pStyle w:val="21"/>
        <w:ind w:firstLine="480"/>
        <w:rPr>
          <w:rFonts w:cs="宋体"/>
          <w:bCs/>
          <w:sz w:val="24"/>
          <w:szCs w:val="24"/>
        </w:rPr>
      </w:pPr>
      <w:r>
        <w:rPr>
          <w:rFonts w:hint="eastAsia" w:cs="宋体"/>
          <w:bCs/>
          <w:sz w:val="24"/>
          <w:szCs w:val="24"/>
        </w:rPr>
        <w:t>本基金信息披露义务人包括基金管理人、基金托管人、召集基金份额持有人大会的基金份额持有人等法律、行政法规和中国证监会规定的自然人、法人和非法人组织。</w:t>
      </w:r>
    </w:p>
    <w:p>
      <w:pPr>
        <w:pStyle w:val="21"/>
        <w:ind w:firstLine="480"/>
        <w:rPr>
          <w:rFonts w:cs="宋体"/>
          <w:bCs/>
          <w:sz w:val="24"/>
          <w:szCs w:val="24"/>
        </w:rPr>
      </w:pPr>
      <w:r>
        <w:rPr>
          <w:rFonts w:hint="eastAsia" w:cs="宋体"/>
          <w:bCs/>
          <w:sz w:val="24"/>
          <w:szCs w:val="24"/>
        </w:rPr>
        <w:t>本基金信息披露义务人以保护基金份额持有人利益为根本出发点，按照法律法规和中国证监会的规定披露基金信息，并保证所披露信息的真实性、准确性、完整性、及时性、简明性和易得性。</w:t>
      </w:r>
    </w:p>
    <w:p>
      <w:pPr>
        <w:pStyle w:val="21"/>
        <w:ind w:firstLine="480"/>
        <w:rPr>
          <w:rFonts w:cs="宋体"/>
          <w:bCs/>
          <w:sz w:val="24"/>
          <w:szCs w:val="24"/>
        </w:rPr>
      </w:pPr>
      <w:r>
        <w:rPr>
          <w:rFonts w:hint="eastAsia" w:cs="宋体"/>
          <w:bCs/>
          <w:sz w:val="24"/>
          <w:szCs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人能够按照基金合同约定的时间和方式查阅或者复制公开披露的信息资料。</w:t>
      </w:r>
    </w:p>
    <w:p>
      <w:pPr>
        <w:pStyle w:val="21"/>
        <w:ind w:firstLine="480"/>
        <w:rPr>
          <w:rFonts w:cs="宋体"/>
          <w:bCs/>
          <w:sz w:val="24"/>
          <w:szCs w:val="24"/>
        </w:rPr>
      </w:pPr>
      <w:r>
        <w:rPr>
          <w:rFonts w:hint="eastAsia" w:cs="宋体"/>
          <w:bCs/>
          <w:sz w:val="24"/>
          <w:szCs w:val="24"/>
        </w:rPr>
        <w:t>三、本基金信息披露义务人承诺公开披露的基金信息，不得有下列行为：</w:t>
      </w:r>
    </w:p>
    <w:p>
      <w:pPr>
        <w:pStyle w:val="21"/>
        <w:ind w:firstLine="480"/>
        <w:rPr>
          <w:rFonts w:cs="宋体"/>
          <w:bCs/>
          <w:sz w:val="24"/>
          <w:szCs w:val="24"/>
        </w:rPr>
      </w:pPr>
      <w:r>
        <w:rPr>
          <w:rFonts w:hint="eastAsia" w:cs="宋体"/>
          <w:bCs/>
          <w:sz w:val="24"/>
          <w:szCs w:val="24"/>
        </w:rPr>
        <w:t>1、虚假记载、误导性陈述或者重大遗漏；</w:t>
      </w:r>
    </w:p>
    <w:p>
      <w:pPr>
        <w:pStyle w:val="21"/>
        <w:ind w:firstLine="480"/>
        <w:rPr>
          <w:rFonts w:cs="宋体"/>
          <w:bCs/>
          <w:sz w:val="24"/>
          <w:szCs w:val="24"/>
        </w:rPr>
      </w:pPr>
      <w:r>
        <w:rPr>
          <w:rFonts w:hint="eastAsia" w:cs="宋体"/>
          <w:bCs/>
          <w:sz w:val="24"/>
          <w:szCs w:val="24"/>
        </w:rPr>
        <w:t>2、对证券投资业绩进行预测；</w:t>
      </w:r>
    </w:p>
    <w:p>
      <w:pPr>
        <w:pStyle w:val="21"/>
        <w:ind w:firstLine="480"/>
        <w:rPr>
          <w:rFonts w:cs="宋体"/>
          <w:bCs/>
          <w:sz w:val="24"/>
          <w:szCs w:val="24"/>
        </w:rPr>
      </w:pPr>
      <w:r>
        <w:rPr>
          <w:rFonts w:hint="eastAsia" w:cs="宋体"/>
          <w:bCs/>
          <w:sz w:val="24"/>
          <w:szCs w:val="24"/>
        </w:rPr>
        <w:t>3、违规承诺收益或者承担损失；</w:t>
      </w:r>
    </w:p>
    <w:p>
      <w:pPr>
        <w:pStyle w:val="21"/>
        <w:ind w:firstLine="480"/>
        <w:rPr>
          <w:rFonts w:cs="宋体"/>
          <w:bCs/>
          <w:sz w:val="24"/>
          <w:szCs w:val="24"/>
        </w:rPr>
      </w:pPr>
      <w:r>
        <w:rPr>
          <w:rFonts w:hint="eastAsia" w:cs="宋体"/>
          <w:bCs/>
          <w:sz w:val="24"/>
          <w:szCs w:val="24"/>
        </w:rPr>
        <w:t>4、诋毁其他基金管理人、基金托管人或者基金销售机构；</w:t>
      </w:r>
    </w:p>
    <w:p>
      <w:pPr>
        <w:pStyle w:val="21"/>
        <w:ind w:firstLine="480"/>
        <w:rPr>
          <w:rFonts w:cs="宋体"/>
          <w:bCs/>
          <w:sz w:val="24"/>
          <w:szCs w:val="24"/>
        </w:rPr>
      </w:pPr>
      <w:r>
        <w:rPr>
          <w:rFonts w:hint="eastAsia" w:cs="宋体"/>
          <w:bCs/>
          <w:sz w:val="24"/>
          <w:szCs w:val="24"/>
        </w:rPr>
        <w:t>5、登载任何自然人、法人和非法人组织的祝贺性、恭维性或推荐性的文字；</w:t>
      </w:r>
    </w:p>
    <w:p>
      <w:pPr>
        <w:pStyle w:val="21"/>
        <w:ind w:firstLine="480"/>
        <w:rPr>
          <w:rFonts w:cs="宋体"/>
          <w:bCs/>
          <w:sz w:val="24"/>
          <w:szCs w:val="24"/>
        </w:rPr>
      </w:pPr>
      <w:r>
        <w:rPr>
          <w:rFonts w:hint="eastAsia" w:cs="宋体"/>
          <w:bCs/>
          <w:sz w:val="24"/>
          <w:szCs w:val="24"/>
        </w:rPr>
        <w:t>6、中国证监会禁止的其他行为。</w:t>
      </w:r>
    </w:p>
    <w:p>
      <w:pPr>
        <w:pStyle w:val="21"/>
        <w:ind w:firstLine="480"/>
        <w:rPr>
          <w:rFonts w:cs="宋体"/>
          <w:bCs/>
          <w:sz w:val="24"/>
          <w:szCs w:val="24"/>
        </w:rPr>
      </w:pPr>
      <w:r>
        <w:rPr>
          <w:rFonts w:hint="eastAsia" w:cs="宋体"/>
          <w:bCs/>
          <w:sz w:val="24"/>
          <w:szCs w:val="24"/>
        </w:rPr>
        <w:t>四、本基金公开披露的信息应采用中文文本。如同时采用外文文本的，基金信息披露义务人应保证不同文本的内容一致。不同文本之间发生歧义的，以中文文本为准。</w:t>
      </w:r>
    </w:p>
    <w:p>
      <w:pPr>
        <w:pStyle w:val="21"/>
        <w:ind w:firstLine="480"/>
        <w:rPr>
          <w:rFonts w:cs="宋体"/>
          <w:bCs/>
          <w:sz w:val="24"/>
          <w:szCs w:val="24"/>
        </w:rPr>
      </w:pPr>
      <w:r>
        <w:rPr>
          <w:rFonts w:hint="eastAsia" w:cs="宋体"/>
          <w:bCs/>
          <w:sz w:val="24"/>
          <w:szCs w:val="24"/>
        </w:rPr>
        <w:t>本基金公开披露的信息采用阿拉伯数字；除特别说明外，货币单位为人民币元。</w:t>
      </w:r>
    </w:p>
    <w:p>
      <w:pPr>
        <w:pStyle w:val="21"/>
        <w:ind w:firstLine="480"/>
        <w:rPr>
          <w:rFonts w:cs="宋体"/>
          <w:bCs/>
          <w:sz w:val="24"/>
          <w:szCs w:val="24"/>
        </w:rPr>
      </w:pPr>
      <w:r>
        <w:rPr>
          <w:rFonts w:hint="eastAsia" w:cs="宋体"/>
          <w:bCs/>
          <w:sz w:val="24"/>
          <w:szCs w:val="24"/>
        </w:rPr>
        <w:t>五、公开披露的基金信息</w:t>
      </w:r>
    </w:p>
    <w:p>
      <w:pPr>
        <w:pStyle w:val="21"/>
        <w:ind w:firstLine="480"/>
        <w:rPr>
          <w:rFonts w:cs="宋体"/>
          <w:bCs/>
          <w:sz w:val="24"/>
          <w:szCs w:val="24"/>
        </w:rPr>
      </w:pPr>
      <w:r>
        <w:rPr>
          <w:rFonts w:hint="eastAsia" w:cs="宋体"/>
          <w:bCs/>
          <w:sz w:val="24"/>
          <w:szCs w:val="24"/>
        </w:rPr>
        <w:t>公开披露的基金信息包括：</w:t>
      </w:r>
    </w:p>
    <w:p>
      <w:pPr>
        <w:pStyle w:val="21"/>
        <w:ind w:firstLine="480"/>
        <w:rPr>
          <w:rFonts w:cs="宋体"/>
          <w:bCs/>
          <w:sz w:val="24"/>
          <w:szCs w:val="24"/>
        </w:rPr>
      </w:pPr>
      <w:r>
        <w:rPr>
          <w:rFonts w:hint="eastAsia" w:cs="宋体"/>
          <w:bCs/>
          <w:sz w:val="24"/>
          <w:szCs w:val="24"/>
        </w:rPr>
        <w:t>（一）基金招募说明书、基金合同、基金托管协议、基金产品资料概要</w:t>
      </w:r>
    </w:p>
    <w:p>
      <w:pPr>
        <w:pStyle w:val="21"/>
        <w:ind w:firstLine="480"/>
        <w:rPr>
          <w:rFonts w:cs="宋体"/>
          <w:bCs/>
          <w:sz w:val="24"/>
          <w:szCs w:val="24"/>
        </w:rPr>
      </w:pPr>
      <w:r>
        <w:rPr>
          <w:rFonts w:hint="eastAsia" w:cs="宋体"/>
          <w:bCs/>
          <w:sz w:val="24"/>
          <w:szCs w:val="24"/>
        </w:rPr>
        <w:t>1、基金合同是界定基金合同当事人的各项权利、义务关系，明确基金份额持有人大会召开的规则及具体程序，说明基金产品的特性等涉及基金投资人重大利益的事项的法律文件。</w:t>
      </w:r>
    </w:p>
    <w:p>
      <w:pPr>
        <w:pStyle w:val="21"/>
        <w:ind w:firstLine="480"/>
        <w:rPr>
          <w:rFonts w:cs="宋体"/>
          <w:bCs/>
          <w:sz w:val="24"/>
          <w:szCs w:val="24"/>
        </w:rPr>
      </w:pPr>
      <w:r>
        <w:rPr>
          <w:rFonts w:hint="eastAsia" w:cs="宋体"/>
          <w:bCs/>
          <w:sz w:val="24"/>
          <w:szCs w:val="24"/>
        </w:rPr>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pPr>
        <w:pStyle w:val="21"/>
        <w:ind w:firstLine="480"/>
        <w:rPr>
          <w:rFonts w:cs="宋体"/>
          <w:bCs/>
          <w:sz w:val="24"/>
          <w:szCs w:val="24"/>
        </w:rPr>
      </w:pPr>
      <w:r>
        <w:rPr>
          <w:rFonts w:hint="eastAsia" w:cs="宋体"/>
          <w:bCs/>
          <w:sz w:val="24"/>
          <w:szCs w:val="24"/>
        </w:rPr>
        <w:t>3、基金托管协议是界定基金托管人和基金管理人在基金财产保管及基金运作监督等活动中的权利、义务关系的法律文件。</w:t>
      </w:r>
    </w:p>
    <w:p>
      <w:pPr>
        <w:pStyle w:val="21"/>
        <w:ind w:firstLine="480"/>
        <w:rPr>
          <w:rFonts w:cs="宋体"/>
          <w:bCs/>
          <w:sz w:val="24"/>
          <w:szCs w:val="24"/>
        </w:rPr>
      </w:pPr>
      <w:r>
        <w:rPr>
          <w:rFonts w:hint="eastAsia" w:cs="宋体"/>
          <w:bCs/>
          <w:sz w:val="24"/>
          <w:szCs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pPr>
        <w:pStyle w:val="21"/>
        <w:ind w:firstLine="480"/>
        <w:rPr>
          <w:rFonts w:cs="宋体"/>
          <w:bCs/>
          <w:sz w:val="24"/>
          <w:szCs w:val="24"/>
        </w:rPr>
      </w:pPr>
      <w:r>
        <w:rPr>
          <w:rFonts w:hint="eastAsia" w:cs="宋体"/>
          <w:bCs/>
          <w:sz w:val="24"/>
          <w:szCs w:val="24"/>
        </w:rPr>
        <w:t>5、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pPr>
        <w:pStyle w:val="21"/>
        <w:ind w:firstLine="480"/>
        <w:rPr>
          <w:rFonts w:cs="宋体"/>
          <w:bCs/>
          <w:sz w:val="24"/>
          <w:szCs w:val="24"/>
        </w:rPr>
      </w:pPr>
      <w:r>
        <w:rPr>
          <w:rFonts w:hint="eastAsia" w:cs="宋体"/>
          <w:bCs/>
          <w:sz w:val="24"/>
          <w:szCs w:val="24"/>
        </w:rPr>
        <w:t>（二）基金份额发售公告</w:t>
      </w:r>
    </w:p>
    <w:p>
      <w:pPr>
        <w:pStyle w:val="21"/>
        <w:ind w:firstLine="480"/>
        <w:rPr>
          <w:rFonts w:cs="宋体"/>
          <w:bCs/>
          <w:sz w:val="24"/>
          <w:szCs w:val="24"/>
        </w:rPr>
      </w:pPr>
      <w:r>
        <w:rPr>
          <w:rFonts w:hint="eastAsia" w:cs="宋体"/>
          <w:bCs/>
          <w:sz w:val="24"/>
          <w:szCs w:val="24"/>
        </w:rPr>
        <w:t>基金管理人应当就基金份额发售的具体事宜编制基金份额发售公告，并在披露招募说明书的当日登载于规定媒介上。</w:t>
      </w:r>
    </w:p>
    <w:p>
      <w:pPr>
        <w:pStyle w:val="21"/>
        <w:ind w:firstLine="480"/>
        <w:rPr>
          <w:rFonts w:cs="宋体"/>
          <w:bCs/>
          <w:sz w:val="24"/>
          <w:szCs w:val="24"/>
        </w:rPr>
      </w:pPr>
      <w:r>
        <w:rPr>
          <w:rFonts w:hint="eastAsia" w:cs="宋体"/>
          <w:bCs/>
          <w:sz w:val="24"/>
          <w:szCs w:val="24"/>
        </w:rPr>
        <w:t>（三）基金合同生效公告</w:t>
      </w:r>
    </w:p>
    <w:p>
      <w:pPr>
        <w:pStyle w:val="21"/>
        <w:ind w:firstLine="480"/>
        <w:rPr>
          <w:rFonts w:cs="宋体"/>
          <w:bCs/>
          <w:sz w:val="24"/>
          <w:szCs w:val="24"/>
        </w:rPr>
      </w:pPr>
      <w:r>
        <w:rPr>
          <w:rFonts w:hint="eastAsia" w:cs="宋体"/>
          <w:bCs/>
          <w:sz w:val="24"/>
          <w:szCs w:val="24"/>
        </w:rPr>
        <w:t>基金管理人应当在收到中国证监会确认文件的次日在规定媒介上登载基金合同生效公告。</w:t>
      </w:r>
    </w:p>
    <w:p>
      <w:pPr>
        <w:pStyle w:val="21"/>
        <w:ind w:firstLine="480"/>
        <w:rPr>
          <w:rFonts w:cs="宋体"/>
          <w:bCs/>
          <w:sz w:val="24"/>
          <w:szCs w:val="24"/>
        </w:rPr>
      </w:pPr>
      <w:r>
        <w:rPr>
          <w:rFonts w:hint="eastAsia" w:cs="宋体"/>
          <w:bCs/>
          <w:sz w:val="24"/>
          <w:szCs w:val="24"/>
        </w:rPr>
        <w:t>（四）基金净值信息</w:t>
      </w:r>
    </w:p>
    <w:p>
      <w:pPr>
        <w:pStyle w:val="21"/>
        <w:ind w:firstLine="480"/>
        <w:rPr>
          <w:rFonts w:cs="宋体"/>
          <w:bCs/>
          <w:sz w:val="24"/>
          <w:szCs w:val="24"/>
        </w:rPr>
      </w:pPr>
      <w:r>
        <w:rPr>
          <w:rFonts w:hint="eastAsia" w:cs="宋体"/>
          <w:bCs/>
          <w:sz w:val="24"/>
          <w:szCs w:val="24"/>
        </w:rPr>
        <w:t>基金合同生效后，在开始办理基金份额申购或者赎回前，基金管理人应当至少每周在规定网站披露一次各类基金份额的基金份额净值和基金份额累计净值。</w:t>
      </w:r>
    </w:p>
    <w:p>
      <w:pPr>
        <w:pStyle w:val="21"/>
        <w:ind w:firstLine="480"/>
        <w:rPr>
          <w:rFonts w:cs="宋体"/>
          <w:bCs/>
          <w:sz w:val="24"/>
          <w:szCs w:val="24"/>
        </w:rPr>
      </w:pPr>
      <w:r>
        <w:rPr>
          <w:rFonts w:hint="eastAsia" w:cs="宋体"/>
          <w:bCs/>
          <w:sz w:val="24"/>
          <w:szCs w:val="24"/>
        </w:rPr>
        <w:t>在本基金开始办理基金份额申购或者赎回后，基金管理人应在不晚于每个开放日的次日，通过规定网站、基金销售机构网站或者营业网点披露开放日的各类基金份额的基金份额净值和基金份额累计净值。</w:t>
      </w:r>
    </w:p>
    <w:p>
      <w:pPr>
        <w:pStyle w:val="21"/>
        <w:ind w:firstLine="480"/>
        <w:rPr>
          <w:rFonts w:cs="宋体"/>
          <w:bCs/>
          <w:sz w:val="24"/>
          <w:szCs w:val="24"/>
        </w:rPr>
      </w:pPr>
      <w:r>
        <w:rPr>
          <w:rFonts w:hint="eastAsia" w:cs="宋体"/>
          <w:bCs/>
          <w:sz w:val="24"/>
          <w:szCs w:val="24"/>
        </w:rPr>
        <w:t>基金管理人应当在不晚于半年度和年度最后一日的次日，在规定网站披露半年度和年度最后一日的各类基金份额的基金份额净值和基金份额累计净值。</w:t>
      </w:r>
    </w:p>
    <w:p>
      <w:pPr>
        <w:pStyle w:val="21"/>
        <w:ind w:firstLine="480"/>
        <w:rPr>
          <w:rFonts w:cs="宋体"/>
          <w:bCs/>
          <w:sz w:val="24"/>
          <w:szCs w:val="24"/>
        </w:rPr>
      </w:pPr>
      <w:r>
        <w:rPr>
          <w:rFonts w:hint="eastAsia" w:cs="宋体"/>
          <w:bCs/>
          <w:sz w:val="24"/>
          <w:szCs w:val="24"/>
        </w:rPr>
        <w:t>（五）基金份额申购、赎回价格</w:t>
      </w:r>
    </w:p>
    <w:p>
      <w:pPr>
        <w:pStyle w:val="21"/>
        <w:ind w:firstLine="480"/>
        <w:rPr>
          <w:rFonts w:cs="宋体"/>
          <w:bCs/>
          <w:sz w:val="24"/>
          <w:szCs w:val="24"/>
        </w:rPr>
      </w:pPr>
      <w:r>
        <w:rPr>
          <w:rFonts w:hint="eastAsia" w:cs="宋体"/>
          <w:bCs/>
          <w:sz w:val="24"/>
          <w:szCs w:val="24"/>
        </w:rPr>
        <w:t>基金管理人应当在基金合同、招募说明书等信息披露文件上载明基金份额申购、赎回价格的计算方式及有关申购、赎回费率，并保证投资人能够在基金销售机构网站或营业网点查阅或者复制前述信息资料。</w:t>
      </w:r>
    </w:p>
    <w:p>
      <w:pPr>
        <w:pStyle w:val="21"/>
        <w:ind w:firstLine="480"/>
        <w:rPr>
          <w:rFonts w:cs="宋体"/>
          <w:bCs/>
          <w:sz w:val="24"/>
          <w:szCs w:val="24"/>
        </w:rPr>
      </w:pPr>
      <w:r>
        <w:rPr>
          <w:rFonts w:hint="eastAsia" w:cs="宋体"/>
          <w:bCs/>
          <w:sz w:val="24"/>
          <w:szCs w:val="24"/>
        </w:rPr>
        <w:t>（六）基金定期报告，包括基金年度报告、基金中期报告和基金季度报告</w:t>
      </w:r>
    </w:p>
    <w:p>
      <w:pPr>
        <w:pStyle w:val="21"/>
        <w:ind w:firstLine="480"/>
        <w:rPr>
          <w:rFonts w:cs="宋体"/>
          <w:bCs/>
          <w:sz w:val="24"/>
          <w:szCs w:val="24"/>
        </w:rPr>
      </w:pPr>
      <w:r>
        <w:rPr>
          <w:rFonts w:hint="eastAsia" w:cs="宋体"/>
          <w:bCs/>
          <w:sz w:val="24"/>
          <w:szCs w:val="24"/>
        </w:rPr>
        <w:t>基金管理人应当在每年结束之日起三个月内，编制完成基金年度报告，将年度报告登载在规定网站上，并将年度报告提示性公告登载在规定报刊上。基金年度报告中的财务会计报告应当经符合《中华人民共和国证券法》规定的会计师事务所审计。</w:t>
      </w:r>
    </w:p>
    <w:p>
      <w:pPr>
        <w:pStyle w:val="21"/>
        <w:ind w:firstLine="480"/>
        <w:rPr>
          <w:rFonts w:cs="宋体"/>
          <w:bCs/>
          <w:sz w:val="24"/>
          <w:szCs w:val="24"/>
        </w:rPr>
      </w:pPr>
      <w:r>
        <w:rPr>
          <w:rFonts w:hint="eastAsia" w:cs="宋体"/>
          <w:bCs/>
          <w:sz w:val="24"/>
          <w:szCs w:val="24"/>
        </w:rPr>
        <w:t>基金管理人应当在上半年结束之日起两个月内，编制完成基金中期报告，将中期报告登载在规定网站上，并将中期报告提示性公告登载在规定报刊上。</w:t>
      </w:r>
    </w:p>
    <w:p>
      <w:pPr>
        <w:pStyle w:val="21"/>
        <w:ind w:firstLine="480"/>
        <w:rPr>
          <w:rFonts w:cs="宋体"/>
          <w:bCs/>
          <w:sz w:val="24"/>
          <w:szCs w:val="24"/>
        </w:rPr>
      </w:pPr>
      <w:r>
        <w:rPr>
          <w:rFonts w:hint="eastAsia" w:cs="宋体"/>
          <w:bCs/>
          <w:sz w:val="24"/>
          <w:szCs w:val="24"/>
        </w:rPr>
        <w:t>基金管理人应当在季度结束之日起15个工作日内，编制完成基金季度报告，将季度报告登载在规定网站上，并将季度报告提示性公告登载在规定报刊上。</w:t>
      </w:r>
    </w:p>
    <w:p>
      <w:pPr>
        <w:pStyle w:val="21"/>
        <w:ind w:firstLine="480"/>
        <w:rPr>
          <w:rFonts w:cs="宋体"/>
          <w:bCs/>
          <w:sz w:val="24"/>
          <w:szCs w:val="24"/>
        </w:rPr>
      </w:pPr>
      <w:r>
        <w:rPr>
          <w:rFonts w:hint="eastAsia" w:cs="宋体"/>
          <w:bCs/>
          <w:sz w:val="24"/>
          <w:szCs w:val="24"/>
        </w:rPr>
        <w:t>基金合同生效不足2个月的，基金管理人可以不编制当期季度报告、中期报告或者年度报告。</w:t>
      </w:r>
    </w:p>
    <w:p>
      <w:pPr>
        <w:pStyle w:val="21"/>
        <w:ind w:firstLine="480"/>
        <w:rPr>
          <w:rFonts w:cs="宋体"/>
          <w:bCs/>
          <w:sz w:val="24"/>
          <w:szCs w:val="24"/>
        </w:rPr>
      </w:pPr>
      <w:r>
        <w:rPr>
          <w:rFonts w:hint="eastAsia" w:cs="宋体"/>
          <w:bCs/>
          <w:sz w:val="24"/>
          <w:szCs w:val="24"/>
        </w:rPr>
        <w:t>如报告期内出现单一投资人持有基金份额达到或超过基金总份额20%的情形，为保障其他投资人的权益，基金管理人至少应当在定期报告“影响投资者决策的其他重要信息”项下披露该投资人的类别、报告期末持有份额及占比、报告期内持有份额变化情况及本基金的特有风险，中国证监会认定的特殊情形除外。</w:t>
      </w:r>
    </w:p>
    <w:p>
      <w:pPr>
        <w:pStyle w:val="21"/>
        <w:ind w:firstLine="480"/>
        <w:rPr>
          <w:rFonts w:cs="宋体"/>
          <w:bCs/>
          <w:sz w:val="24"/>
          <w:szCs w:val="24"/>
        </w:rPr>
      </w:pPr>
      <w:r>
        <w:rPr>
          <w:rFonts w:hint="eastAsia" w:cs="宋体"/>
          <w:bCs/>
          <w:sz w:val="24"/>
          <w:szCs w:val="24"/>
        </w:rPr>
        <w:t>基金管理人应当在基金年度报告和中期报告中披露基金组合资产情况及其流动性风险分析等。</w:t>
      </w:r>
    </w:p>
    <w:p>
      <w:pPr>
        <w:pStyle w:val="21"/>
        <w:ind w:firstLine="480"/>
        <w:rPr>
          <w:rFonts w:cs="宋体"/>
          <w:bCs/>
          <w:sz w:val="24"/>
          <w:szCs w:val="24"/>
        </w:rPr>
      </w:pPr>
      <w:r>
        <w:rPr>
          <w:rFonts w:hint="eastAsia" w:cs="宋体"/>
          <w:bCs/>
          <w:sz w:val="24"/>
          <w:szCs w:val="24"/>
        </w:rPr>
        <w:t>（七）临时报告</w:t>
      </w:r>
    </w:p>
    <w:p>
      <w:pPr>
        <w:pStyle w:val="21"/>
        <w:ind w:firstLine="480"/>
        <w:rPr>
          <w:rFonts w:cs="宋体"/>
          <w:bCs/>
          <w:sz w:val="24"/>
          <w:szCs w:val="24"/>
        </w:rPr>
      </w:pPr>
      <w:r>
        <w:rPr>
          <w:rFonts w:hint="eastAsia" w:cs="宋体"/>
          <w:bCs/>
          <w:sz w:val="24"/>
          <w:szCs w:val="24"/>
        </w:rPr>
        <w:t>本基金发生重大事件，有关信息披露义务人应依照《信息披露办法》的有关规定编制临时报告书，并登载在规定报刊和规定网站上。</w:t>
      </w:r>
    </w:p>
    <w:p>
      <w:pPr>
        <w:pStyle w:val="21"/>
        <w:ind w:firstLine="480"/>
        <w:rPr>
          <w:rFonts w:cs="宋体"/>
          <w:bCs/>
          <w:sz w:val="24"/>
          <w:szCs w:val="24"/>
        </w:rPr>
      </w:pPr>
      <w:r>
        <w:rPr>
          <w:rFonts w:hint="eastAsia" w:cs="宋体"/>
          <w:bCs/>
          <w:sz w:val="24"/>
          <w:szCs w:val="24"/>
        </w:rPr>
        <w:t>前款所称重大事件，是指可能对基金份额持有人权益或者基金份额的价格产生重大影响的下列事件：</w:t>
      </w:r>
    </w:p>
    <w:p>
      <w:pPr>
        <w:pStyle w:val="21"/>
        <w:ind w:firstLine="480"/>
        <w:rPr>
          <w:rFonts w:cs="宋体"/>
          <w:bCs/>
          <w:sz w:val="24"/>
          <w:szCs w:val="24"/>
        </w:rPr>
      </w:pPr>
      <w:r>
        <w:rPr>
          <w:rFonts w:hint="eastAsia" w:cs="宋体"/>
          <w:bCs/>
          <w:sz w:val="24"/>
          <w:szCs w:val="24"/>
        </w:rPr>
        <w:t>1、基金份额持有人大会的召开及决定的事项；</w:t>
      </w:r>
    </w:p>
    <w:p>
      <w:pPr>
        <w:pStyle w:val="21"/>
        <w:ind w:firstLine="480"/>
        <w:rPr>
          <w:rFonts w:cs="宋体"/>
          <w:bCs/>
          <w:sz w:val="24"/>
          <w:szCs w:val="24"/>
        </w:rPr>
      </w:pPr>
      <w:r>
        <w:rPr>
          <w:rFonts w:hint="eastAsia" w:cs="宋体"/>
          <w:bCs/>
          <w:sz w:val="24"/>
          <w:szCs w:val="24"/>
        </w:rPr>
        <w:t>2、基金合同终止、基金清算；</w:t>
      </w:r>
    </w:p>
    <w:p>
      <w:pPr>
        <w:pStyle w:val="21"/>
        <w:ind w:firstLine="480"/>
        <w:rPr>
          <w:rFonts w:cs="宋体"/>
          <w:bCs/>
          <w:sz w:val="24"/>
          <w:szCs w:val="24"/>
        </w:rPr>
      </w:pPr>
      <w:r>
        <w:rPr>
          <w:rFonts w:hint="eastAsia" w:cs="宋体"/>
          <w:bCs/>
          <w:sz w:val="24"/>
          <w:szCs w:val="24"/>
        </w:rPr>
        <w:t>3、转换基金运作方式、基金合并；</w:t>
      </w:r>
    </w:p>
    <w:p>
      <w:pPr>
        <w:pStyle w:val="21"/>
        <w:ind w:firstLine="480"/>
        <w:rPr>
          <w:rFonts w:cs="宋体"/>
          <w:bCs/>
          <w:sz w:val="24"/>
          <w:szCs w:val="24"/>
        </w:rPr>
      </w:pPr>
      <w:r>
        <w:rPr>
          <w:rFonts w:hint="eastAsia" w:cs="宋体"/>
          <w:bCs/>
          <w:sz w:val="24"/>
          <w:szCs w:val="24"/>
        </w:rPr>
        <w:t>4、更换基金管理人、基金托管人、基金份额登记机构，基金改聘会计师事务所；</w:t>
      </w:r>
    </w:p>
    <w:p>
      <w:pPr>
        <w:pStyle w:val="21"/>
        <w:ind w:firstLine="480"/>
        <w:rPr>
          <w:rFonts w:cs="宋体"/>
          <w:bCs/>
          <w:sz w:val="24"/>
          <w:szCs w:val="24"/>
        </w:rPr>
      </w:pPr>
      <w:r>
        <w:rPr>
          <w:rFonts w:hint="eastAsia" w:cs="宋体"/>
          <w:bCs/>
          <w:sz w:val="24"/>
          <w:szCs w:val="24"/>
        </w:rPr>
        <w:t>5、基金管理人委托基金服务机构代为办理基金的份额登记、核算、估值等事项，基金托管人委托基金服务机构代为办理基金的核算、估值、复核等事项；</w:t>
      </w:r>
    </w:p>
    <w:p>
      <w:pPr>
        <w:pStyle w:val="21"/>
        <w:ind w:firstLine="480"/>
        <w:rPr>
          <w:rFonts w:cs="宋体"/>
          <w:bCs/>
          <w:sz w:val="24"/>
          <w:szCs w:val="24"/>
        </w:rPr>
      </w:pPr>
      <w:r>
        <w:rPr>
          <w:rFonts w:hint="eastAsia" w:cs="宋体"/>
          <w:bCs/>
          <w:sz w:val="24"/>
          <w:szCs w:val="24"/>
        </w:rPr>
        <w:t>6、基金管理人、基金托管人的法定名称、住所发生变更；</w:t>
      </w:r>
    </w:p>
    <w:p>
      <w:pPr>
        <w:pStyle w:val="21"/>
        <w:ind w:firstLine="480"/>
        <w:rPr>
          <w:rFonts w:cs="宋体"/>
          <w:bCs/>
          <w:sz w:val="24"/>
          <w:szCs w:val="24"/>
        </w:rPr>
      </w:pPr>
      <w:r>
        <w:rPr>
          <w:rFonts w:hint="eastAsia" w:cs="宋体"/>
          <w:bCs/>
          <w:sz w:val="24"/>
          <w:szCs w:val="24"/>
        </w:rPr>
        <w:t>7、基金管理人变更持有百分之五以上股权的股东、基金管理人的实际控制人变更；</w:t>
      </w:r>
    </w:p>
    <w:p>
      <w:pPr>
        <w:pStyle w:val="21"/>
        <w:ind w:firstLine="480"/>
        <w:rPr>
          <w:rFonts w:cs="宋体"/>
          <w:bCs/>
          <w:sz w:val="24"/>
          <w:szCs w:val="24"/>
        </w:rPr>
      </w:pPr>
      <w:r>
        <w:rPr>
          <w:rFonts w:hint="eastAsia" w:cs="宋体"/>
          <w:bCs/>
          <w:sz w:val="24"/>
          <w:szCs w:val="24"/>
        </w:rPr>
        <w:t>8、基金募集期延长或提前结束募集；</w:t>
      </w:r>
    </w:p>
    <w:p>
      <w:pPr>
        <w:pStyle w:val="21"/>
        <w:ind w:firstLine="480"/>
        <w:rPr>
          <w:rFonts w:cs="宋体"/>
          <w:bCs/>
          <w:sz w:val="24"/>
          <w:szCs w:val="24"/>
        </w:rPr>
      </w:pPr>
      <w:r>
        <w:rPr>
          <w:rFonts w:hint="eastAsia" w:cs="宋体"/>
          <w:bCs/>
          <w:sz w:val="24"/>
          <w:szCs w:val="24"/>
        </w:rPr>
        <w:t>9、基金管理人的高级管理人员、基金经理和基金托管人专门基金托管部门负责人发生变动；</w:t>
      </w:r>
    </w:p>
    <w:p>
      <w:pPr>
        <w:pStyle w:val="21"/>
        <w:ind w:firstLine="480"/>
        <w:rPr>
          <w:rFonts w:cs="宋体"/>
          <w:bCs/>
          <w:sz w:val="24"/>
          <w:szCs w:val="24"/>
        </w:rPr>
      </w:pPr>
      <w:r>
        <w:rPr>
          <w:rFonts w:hint="eastAsia" w:cs="宋体"/>
          <w:bCs/>
          <w:sz w:val="24"/>
          <w:szCs w:val="24"/>
        </w:rPr>
        <w:t>10、基金管理人的董事在最近12个月内变更超过百分之五十，基金管理人、基金托管人专门基金托管部门的主要业务人员在最近12个月内变动超过百分之三十；</w:t>
      </w:r>
    </w:p>
    <w:p>
      <w:pPr>
        <w:pStyle w:val="21"/>
        <w:ind w:firstLine="480"/>
        <w:rPr>
          <w:rFonts w:cs="宋体"/>
          <w:bCs/>
          <w:sz w:val="24"/>
          <w:szCs w:val="24"/>
        </w:rPr>
      </w:pPr>
      <w:r>
        <w:rPr>
          <w:rFonts w:hint="eastAsia" w:cs="宋体"/>
          <w:bCs/>
          <w:sz w:val="24"/>
          <w:szCs w:val="24"/>
        </w:rPr>
        <w:t>11、涉及基金财产、基金管理业务、基金托管业务的诉讼或仲裁；</w:t>
      </w:r>
    </w:p>
    <w:p>
      <w:pPr>
        <w:pStyle w:val="21"/>
        <w:ind w:firstLine="480"/>
        <w:rPr>
          <w:rFonts w:cs="宋体"/>
          <w:bCs/>
          <w:sz w:val="24"/>
          <w:szCs w:val="24"/>
        </w:rPr>
      </w:pPr>
      <w:r>
        <w:rPr>
          <w:rFonts w:hint="eastAsia" w:cs="宋体"/>
          <w:bCs/>
          <w:sz w:val="24"/>
          <w:szCs w:val="24"/>
        </w:rPr>
        <w:t>12、基金管理人或其高级管理人员、基金经理因基金管理业务相关行为受到重大行政处罚、刑事处罚，基金托管人或其专门基金托管部门负责人因基金托管业务相关行为受到重大行政处罚、刑事处罚；</w:t>
      </w:r>
    </w:p>
    <w:p>
      <w:pPr>
        <w:pStyle w:val="21"/>
        <w:ind w:firstLine="480"/>
        <w:rPr>
          <w:rFonts w:cs="宋体"/>
          <w:bCs/>
          <w:sz w:val="24"/>
          <w:szCs w:val="24"/>
        </w:rPr>
      </w:pPr>
      <w:r>
        <w:rPr>
          <w:rFonts w:hint="eastAsia" w:cs="宋体"/>
          <w:bCs/>
          <w:sz w:val="24"/>
          <w:szCs w:val="24"/>
        </w:rPr>
        <w:t>13、基金管理人运用基金财产买卖基金管理人、基金托管人及其控股股东、实际控制人或者与其有重大利害关系的公司发行的证券或者承销期内承销的证券，或者从事其他重大关联交易事项，但投资于目标ETF及中国证监会另有规定的除外；</w:t>
      </w:r>
    </w:p>
    <w:p>
      <w:pPr>
        <w:pStyle w:val="21"/>
        <w:ind w:firstLine="480"/>
        <w:rPr>
          <w:rFonts w:cs="宋体"/>
          <w:bCs/>
          <w:sz w:val="24"/>
          <w:szCs w:val="24"/>
        </w:rPr>
      </w:pPr>
      <w:r>
        <w:rPr>
          <w:rFonts w:hint="eastAsia" w:cs="宋体"/>
          <w:bCs/>
          <w:sz w:val="24"/>
          <w:szCs w:val="24"/>
        </w:rPr>
        <w:t>14、基金收益分配事项；</w:t>
      </w:r>
    </w:p>
    <w:p>
      <w:pPr>
        <w:pStyle w:val="21"/>
        <w:ind w:firstLine="480"/>
        <w:rPr>
          <w:rFonts w:cs="宋体"/>
          <w:bCs/>
          <w:sz w:val="24"/>
          <w:szCs w:val="24"/>
        </w:rPr>
      </w:pPr>
      <w:r>
        <w:rPr>
          <w:rFonts w:hint="eastAsia" w:cs="宋体"/>
          <w:bCs/>
          <w:sz w:val="24"/>
          <w:szCs w:val="24"/>
        </w:rPr>
        <w:t>15、管理费、托管费、销售服务费、申购费、赎回费等费用计提标准、计提方式和费率发生变更；</w:t>
      </w:r>
    </w:p>
    <w:p>
      <w:pPr>
        <w:pStyle w:val="21"/>
        <w:ind w:firstLine="480"/>
        <w:rPr>
          <w:rFonts w:cs="宋体"/>
          <w:bCs/>
          <w:sz w:val="24"/>
          <w:szCs w:val="24"/>
        </w:rPr>
      </w:pPr>
      <w:r>
        <w:rPr>
          <w:rFonts w:hint="eastAsia" w:cs="宋体"/>
          <w:bCs/>
          <w:sz w:val="24"/>
          <w:szCs w:val="24"/>
        </w:rPr>
        <w:t>16、任一类别基金份额净值估值错误达该类基金份额净值百分之零点五；</w:t>
      </w:r>
    </w:p>
    <w:p>
      <w:pPr>
        <w:pStyle w:val="21"/>
        <w:ind w:firstLine="480"/>
        <w:rPr>
          <w:rFonts w:cs="宋体"/>
          <w:bCs/>
          <w:sz w:val="24"/>
          <w:szCs w:val="24"/>
        </w:rPr>
      </w:pPr>
      <w:r>
        <w:rPr>
          <w:rFonts w:hint="eastAsia" w:cs="宋体"/>
          <w:bCs/>
          <w:sz w:val="24"/>
          <w:szCs w:val="24"/>
        </w:rPr>
        <w:t>17、本基金开始办理申购、赎回；</w:t>
      </w:r>
    </w:p>
    <w:p>
      <w:pPr>
        <w:pStyle w:val="21"/>
        <w:ind w:firstLine="480"/>
        <w:rPr>
          <w:rFonts w:cs="宋体"/>
          <w:bCs/>
          <w:sz w:val="24"/>
          <w:szCs w:val="24"/>
        </w:rPr>
      </w:pPr>
      <w:r>
        <w:rPr>
          <w:rFonts w:hint="eastAsia" w:cs="宋体"/>
          <w:bCs/>
          <w:sz w:val="24"/>
          <w:szCs w:val="24"/>
        </w:rPr>
        <w:t>18、本基金发生巨额赎回并延期办理；</w:t>
      </w:r>
    </w:p>
    <w:p>
      <w:pPr>
        <w:pStyle w:val="21"/>
        <w:ind w:firstLine="480"/>
        <w:rPr>
          <w:rFonts w:cs="宋体"/>
          <w:bCs/>
          <w:sz w:val="24"/>
          <w:szCs w:val="24"/>
        </w:rPr>
      </w:pPr>
      <w:r>
        <w:rPr>
          <w:rFonts w:hint="eastAsia" w:cs="宋体"/>
          <w:bCs/>
          <w:sz w:val="24"/>
          <w:szCs w:val="24"/>
        </w:rPr>
        <w:t>19、本基金连续发生巨额赎回并暂停接受赎回申请或延缓支付赎回款项；</w:t>
      </w:r>
    </w:p>
    <w:p>
      <w:pPr>
        <w:pStyle w:val="21"/>
        <w:ind w:firstLine="480"/>
        <w:rPr>
          <w:rFonts w:cs="宋体"/>
          <w:bCs/>
          <w:sz w:val="24"/>
          <w:szCs w:val="24"/>
        </w:rPr>
      </w:pPr>
      <w:r>
        <w:rPr>
          <w:rFonts w:hint="eastAsia" w:cs="宋体"/>
          <w:bCs/>
          <w:sz w:val="24"/>
          <w:szCs w:val="24"/>
        </w:rPr>
        <w:t>20、本基金暂停接受申购、赎回申请或重新接受申购、赎回申请；</w:t>
      </w:r>
    </w:p>
    <w:p>
      <w:pPr>
        <w:pStyle w:val="21"/>
        <w:ind w:firstLine="480"/>
        <w:rPr>
          <w:rFonts w:cs="宋体"/>
          <w:bCs/>
          <w:sz w:val="24"/>
          <w:szCs w:val="24"/>
        </w:rPr>
      </w:pPr>
      <w:r>
        <w:rPr>
          <w:rFonts w:hint="eastAsia" w:cs="宋体"/>
          <w:bCs/>
          <w:sz w:val="24"/>
          <w:szCs w:val="24"/>
        </w:rPr>
        <w:t>21、基金推出新业务或服务；</w:t>
      </w:r>
    </w:p>
    <w:p>
      <w:pPr>
        <w:pStyle w:val="21"/>
        <w:ind w:firstLine="480"/>
        <w:rPr>
          <w:rFonts w:cs="宋体"/>
          <w:bCs/>
          <w:sz w:val="24"/>
          <w:szCs w:val="24"/>
        </w:rPr>
      </w:pPr>
      <w:r>
        <w:rPr>
          <w:rFonts w:hint="eastAsia" w:cs="宋体"/>
          <w:bCs/>
          <w:sz w:val="24"/>
          <w:szCs w:val="24"/>
        </w:rPr>
        <w:t>22、调整基金份额类别的设置；</w:t>
      </w:r>
    </w:p>
    <w:p>
      <w:pPr>
        <w:pStyle w:val="21"/>
        <w:ind w:firstLine="480"/>
        <w:rPr>
          <w:rFonts w:cs="宋体"/>
          <w:bCs/>
          <w:sz w:val="24"/>
          <w:szCs w:val="24"/>
        </w:rPr>
      </w:pPr>
      <w:r>
        <w:rPr>
          <w:rFonts w:hint="eastAsia" w:cs="宋体"/>
          <w:bCs/>
          <w:sz w:val="24"/>
          <w:szCs w:val="24"/>
        </w:rPr>
        <w:t>23、发生涉及基金申购、赎回事项调整或潜在影响投资者赎回等重大事项时；</w:t>
      </w:r>
    </w:p>
    <w:p>
      <w:pPr>
        <w:pStyle w:val="21"/>
        <w:ind w:firstLine="480"/>
        <w:rPr>
          <w:rFonts w:cs="宋体"/>
          <w:bCs/>
          <w:sz w:val="24"/>
          <w:szCs w:val="24"/>
        </w:rPr>
      </w:pPr>
      <w:r>
        <w:rPr>
          <w:rFonts w:hint="eastAsia" w:cs="宋体"/>
          <w:bCs/>
          <w:sz w:val="24"/>
          <w:szCs w:val="24"/>
        </w:rPr>
        <w:t>24、基金管理人采用摆动定价机制进行估值；</w:t>
      </w:r>
    </w:p>
    <w:p>
      <w:pPr>
        <w:pStyle w:val="21"/>
        <w:ind w:firstLine="480"/>
        <w:rPr>
          <w:rFonts w:cs="宋体"/>
          <w:bCs/>
          <w:sz w:val="24"/>
          <w:szCs w:val="24"/>
        </w:rPr>
      </w:pPr>
      <w:r>
        <w:rPr>
          <w:rFonts w:hint="eastAsia" w:cs="宋体"/>
          <w:bCs/>
          <w:sz w:val="24"/>
          <w:szCs w:val="24"/>
        </w:rPr>
        <w:t>25、目标ETF变更或标的指数变更；</w:t>
      </w:r>
    </w:p>
    <w:p>
      <w:pPr>
        <w:pStyle w:val="21"/>
        <w:ind w:firstLine="480"/>
        <w:rPr>
          <w:rFonts w:cs="宋体"/>
          <w:bCs/>
          <w:sz w:val="24"/>
          <w:szCs w:val="24"/>
        </w:rPr>
      </w:pPr>
      <w:r>
        <w:rPr>
          <w:rFonts w:hint="eastAsia" w:cs="宋体"/>
          <w:bCs/>
          <w:sz w:val="24"/>
          <w:szCs w:val="24"/>
        </w:rPr>
        <w:t>26、《基金合同》生效后，连续30、40、45个工作日出现基金份额持有人数量不满200人或者基金资产净值低于5000万元情形时，基金管理人就基金合同可能出现终止事由发布提示性公告；</w:t>
      </w:r>
    </w:p>
    <w:p>
      <w:pPr>
        <w:pStyle w:val="21"/>
        <w:ind w:firstLine="480"/>
        <w:rPr>
          <w:rFonts w:cs="宋体"/>
          <w:bCs/>
          <w:sz w:val="24"/>
          <w:szCs w:val="24"/>
        </w:rPr>
      </w:pPr>
      <w:r>
        <w:rPr>
          <w:rFonts w:hint="eastAsia" w:cs="宋体"/>
          <w:bCs/>
          <w:sz w:val="24"/>
          <w:szCs w:val="24"/>
        </w:rPr>
        <w:t>27、基金信息披露义务人认为可能对基金份额持有人权益或者基金份额的价格产生重大影响的其他事项或中国证监会规定或基金合同约定的其他事项。</w:t>
      </w:r>
    </w:p>
    <w:p>
      <w:pPr>
        <w:pStyle w:val="21"/>
        <w:ind w:firstLine="480"/>
        <w:rPr>
          <w:rFonts w:cs="宋体"/>
          <w:bCs/>
          <w:sz w:val="24"/>
          <w:szCs w:val="24"/>
        </w:rPr>
      </w:pPr>
      <w:r>
        <w:rPr>
          <w:rFonts w:hint="eastAsia" w:cs="宋体"/>
          <w:bCs/>
          <w:sz w:val="24"/>
          <w:szCs w:val="24"/>
        </w:rPr>
        <w:t>（八）澄清公告</w:t>
      </w:r>
    </w:p>
    <w:p>
      <w:pPr>
        <w:pStyle w:val="21"/>
        <w:ind w:firstLine="480"/>
        <w:rPr>
          <w:rFonts w:cs="宋体"/>
          <w:bCs/>
          <w:sz w:val="24"/>
          <w:szCs w:val="24"/>
        </w:rPr>
      </w:pPr>
      <w:r>
        <w:rPr>
          <w:rFonts w:hint="eastAsia" w:cs="宋体"/>
          <w:bCs/>
          <w:sz w:val="24"/>
          <w:szCs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pPr>
        <w:pStyle w:val="21"/>
        <w:ind w:firstLine="480"/>
        <w:rPr>
          <w:rFonts w:cs="宋体"/>
          <w:bCs/>
          <w:sz w:val="24"/>
          <w:szCs w:val="24"/>
        </w:rPr>
      </w:pPr>
      <w:r>
        <w:rPr>
          <w:rFonts w:hint="eastAsia" w:cs="宋体"/>
          <w:bCs/>
          <w:sz w:val="24"/>
          <w:szCs w:val="24"/>
        </w:rPr>
        <w:t>（九）清算报告</w:t>
      </w:r>
    </w:p>
    <w:p>
      <w:pPr>
        <w:pStyle w:val="21"/>
        <w:ind w:firstLine="480"/>
        <w:rPr>
          <w:rFonts w:cs="宋体"/>
          <w:bCs/>
          <w:sz w:val="24"/>
          <w:szCs w:val="24"/>
        </w:rPr>
      </w:pPr>
      <w:r>
        <w:rPr>
          <w:rFonts w:hint="eastAsia" w:cs="宋体"/>
          <w:bCs/>
          <w:sz w:val="24"/>
          <w:szCs w:val="24"/>
        </w:rPr>
        <w:t>基金合同出现终止事由的，基金管理人应当依法组织基金财产清算小组对基金财产进行清算并作出清算报告。基金财产清算小组应当将清算报告登载在规定网站上，并将清算报告提示性公告登载在规定报刊上。</w:t>
      </w:r>
    </w:p>
    <w:p>
      <w:pPr>
        <w:pStyle w:val="21"/>
        <w:ind w:firstLine="480"/>
        <w:rPr>
          <w:rFonts w:cs="宋体"/>
          <w:bCs/>
          <w:sz w:val="24"/>
          <w:szCs w:val="24"/>
        </w:rPr>
      </w:pPr>
      <w:r>
        <w:rPr>
          <w:rFonts w:hint="eastAsia" w:cs="宋体"/>
          <w:bCs/>
          <w:sz w:val="24"/>
          <w:szCs w:val="24"/>
        </w:rPr>
        <w:t>（十）基金份额持有人大会决议</w:t>
      </w:r>
    </w:p>
    <w:p>
      <w:pPr>
        <w:pStyle w:val="21"/>
        <w:ind w:firstLine="480"/>
        <w:rPr>
          <w:rFonts w:cs="宋体"/>
          <w:bCs/>
          <w:sz w:val="24"/>
          <w:szCs w:val="24"/>
        </w:rPr>
      </w:pPr>
      <w:r>
        <w:rPr>
          <w:rFonts w:hint="eastAsia" w:cs="宋体"/>
          <w:bCs/>
          <w:sz w:val="24"/>
          <w:szCs w:val="24"/>
        </w:rPr>
        <w:t>基金份额持有人大会决定的事项，应当依法报中国证监会备案，并予以公告。</w:t>
      </w:r>
    </w:p>
    <w:p>
      <w:pPr>
        <w:pStyle w:val="21"/>
        <w:ind w:firstLine="480"/>
        <w:rPr>
          <w:rFonts w:cs="宋体"/>
          <w:bCs/>
          <w:sz w:val="24"/>
          <w:szCs w:val="24"/>
        </w:rPr>
      </w:pPr>
      <w:r>
        <w:rPr>
          <w:rFonts w:hint="eastAsia" w:cs="宋体"/>
          <w:bCs/>
          <w:sz w:val="24"/>
          <w:szCs w:val="24"/>
        </w:rPr>
        <w:t>（十一）投资股指期货相关公告</w:t>
      </w:r>
    </w:p>
    <w:p>
      <w:pPr>
        <w:pStyle w:val="21"/>
        <w:ind w:firstLine="480"/>
        <w:rPr>
          <w:rFonts w:cs="宋体"/>
          <w:bCs/>
          <w:sz w:val="24"/>
          <w:szCs w:val="24"/>
        </w:rPr>
      </w:pPr>
      <w:r>
        <w:rPr>
          <w:rFonts w:hint="eastAsia" w:cs="宋体"/>
          <w:bCs/>
          <w:sz w:val="24"/>
          <w:szCs w:val="24"/>
        </w:rPr>
        <w:t>本基金投资股指期货的，在季度报告、中期报告、年度报告等定期报告和招募说明书（更新）等文件中披露股指期货交易情况，包括交易政策、持仓情况、损益情况、风险指标等，并充分揭示股指期货交易对基金总体风险的影响以及是否符合既定的交易政策和交易目标等。</w:t>
      </w:r>
    </w:p>
    <w:p>
      <w:pPr>
        <w:pStyle w:val="21"/>
        <w:ind w:firstLine="480"/>
        <w:rPr>
          <w:rFonts w:cs="宋体"/>
          <w:bCs/>
          <w:sz w:val="24"/>
          <w:szCs w:val="24"/>
        </w:rPr>
      </w:pPr>
      <w:r>
        <w:rPr>
          <w:rFonts w:hint="eastAsia" w:cs="宋体"/>
          <w:bCs/>
          <w:sz w:val="24"/>
          <w:szCs w:val="24"/>
        </w:rPr>
        <w:t>（十二）投资股票期权相关公告</w:t>
      </w:r>
    </w:p>
    <w:p>
      <w:pPr>
        <w:pStyle w:val="21"/>
        <w:ind w:firstLine="480"/>
        <w:rPr>
          <w:rFonts w:cs="宋体"/>
          <w:bCs/>
          <w:sz w:val="24"/>
          <w:szCs w:val="24"/>
        </w:rPr>
      </w:pPr>
      <w:r>
        <w:rPr>
          <w:rFonts w:hint="eastAsia" w:cs="宋体"/>
          <w:bCs/>
          <w:sz w:val="24"/>
          <w:szCs w:val="24"/>
        </w:rPr>
        <w:t>本基金投资股票期权的，基金管理人应在定期信息披露文件中披露参与股票期权交易的有关情况，包括投资政策、持仓情况、损益情况、风险指标、估值方法等，并充分揭示股票期权交易对基金总体风险的影响以及是否符合既定的投资政策和投资目标。</w:t>
      </w:r>
    </w:p>
    <w:p>
      <w:pPr>
        <w:pStyle w:val="21"/>
        <w:ind w:firstLine="480"/>
        <w:rPr>
          <w:rFonts w:cs="宋体"/>
          <w:bCs/>
          <w:sz w:val="24"/>
          <w:szCs w:val="24"/>
        </w:rPr>
      </w:pPr>
      <w:r>
        <w:rPr>
          <w:rFonts w:hint="eastAsia" w:cs="宋体"/>
          <w:bCs/>
          <w:sz w:val="24"/>
          <w:szCs w:val="24"/>
        </w:rPr>
        <w:t>（十三）投资资产支持证券相关公告</w:t>
      </w:r>
    </w:p>
    <w:p>
      <w:pPr>
        <w:pStyle w:val="21"/>
        <w:ind w:firstLine="480"/>
        <w:rPr>
          <w:rFonts w:cs="宋体"/>
          <w:bCs/>
          <w:sz w:val="24"/>
          <w:szCs w:val="24"/>
        </w:rPr>
      </w:pPr>
      <w:r>
        <w:rPr>
          <w:rFonts w:hint="eastAsia" w:cs="宋体"/>
          <w:bCs/>
          <w:sz w:val="24"/>
          <w:szCs w:val="24"/>
        </w:rPr>
        <w:t>本基金投资资产支持证券的，基金管理人应在基金年度报告及中期报告中披露其持有的资产支持证券总额、资产支持证券市值占基金净资产的比例和报告期内所有的资产支持证券明细。</w:t>
      </w:r>
    </w:p>
    <w:p>
      <w:pPr>
        <w:pStyle w:val="21"/>
        <w:ind w:firstLine="480"/>
        <w:rPr>
          <w:rFonts w:cs="宋体"/>
          <w:bCs/>
          <w:sz w:val="24"/>
          <w:szCs w:val="24"/>
        </w:rPr>
      </w:pPr>
      <w:r>
        <w:rPr>
          <w:rFonts w:hint="eastAsia" w:cs="宋体"/>
          <w:bCs/>
          <w:sz w:val="24"/>
          <w:szCs w:val="24"/>
        </w:rPr>
        <w:t>基金管理人应在基金季度报告中披露其持有的资产支持证券总额、资产支持证券市值占基金净资产的比例和报告期末按市值占基金净资产比例大小排序的前10名资产支持证券明细。</w:t>
      </w:r>
    </w:p>
    <w:p>
      <w:pPr>
        <w:pStyle w:val="21"/>
        <w:ind w:firstLine="480"/>
        <w:rPr>
          <w:rFonts w:cs="宋体"/>
          <w:bCs/>
          <w:sz w:val="24"/>
          <w:szCs w:val="24"/>
        </w:rPr>
      </w:pPr>
      <w:r>
        <w:rPr>
          <w:rFonts w:hint="eastAsia" w:cs="宋体"/>
          <w:bCs/>
          <w:sz w:val="24"/>
          <w:szCs w:val="24"/>
        </w:rPr>
        <w:t>（十四）投资目标ETF的信息披露</w:t>
      </w:r>
    </w:p>
    <w:p>
      <w:pPr>
        <w:pStyle w:val="21"/>
        <w:ind w:firstLine="480"/>
        <w:rPr>
          <w:rFonts w:cs="宋体"/>
          <w:bCs/>
          <w:sz w:val="24"/>
          <w:szCs w:val="24"/>
        </w:rPr>
      </w:pPr>
      <w:r>
        <w:rPr>
          <w:rFonts w:hint="eastAsia" w:cs="宋体"/>
          <w:bCs/>
          <w:sz w:val="24"/>
          <w:szCs w:val="24"/>
        </w:rPr>
        <w:t>基金管理人在招募说明书及定期报告等文件中应当设立专门章节披露目标ETF以下情况，并揭示相关风险。</w:t>
      </w:r>
    </w:p>
    <w:p>
      <w:pPr>
        <w:pStyle w:val="21"/>
        <w:ind w:firstLine="480"/>
        <w:rPr>
          <w:rFonts w:cs="宋体"/>
          <w:bCs/>
          <w:sz w:val="24"/>
          <w:szCs w:val="24"/>
        </w:rPr>
      </w:pPr>
      <w:r>
        <w:rPr>
          <w:rFonts w:hint="eastAsia" w:cs="宋体"/>
          <w:bCs/>
          <w:sz w:val="24"/>
          <w:szCs w:val="24"/>
        </w:rPr>
        <w:t>1、投资策略、持仓情况、损益情况、净值披露时间等。</w:t>
      </w:r>
    </w:p>
    <w:p>
      <w:pPr>
        <w:pStyle w:val="21"/>
        <w:ind w:firstLine="480"/>
        <w:rPr>
          <w:rFonts w:cs="宋体"/>
          <w:bCs/>
          <w:sz w:val="24"/>
          <w:szCs w:val="24"/>
        </w:rPr>
      </w:pPr>
      <w:r>
        <w:rPr>
          <w:rFonts w:hint="eastAsia" w:cs="宋体"/>
          <w:bCs/>
          <w:sz w:val="24"/>
          <w:szCs w:val="24"/>
        </w:rPr>
        <w:t>2、交易及持有基金产生的费用，包括申购费、赎回费、销售服务费（如有）、管理费、托管费等，招募说明书中应当列明计算方法并举例说明。</w:t>
      </w:r>
    </w:p>
    <w:p>
      <w:pPr>
        <w:pStyle w:val="21"/>
        <w:ind w:firstLine="480"/>
        <w:rPr>
          <w:rFonts w:cs="宋体"/>
          <w:bCs/>
          <w:sz w:val="24"/>
          <w:szCs w:val="24"/>
        </w:rPr>
      </w:pPr>
      <w:r>
        <w:rPr>
          <w:rFonts w:hint="eastAsia" w:cs="宋体"/>
          <w:bCs/>
          <w:sz w:val="24"/>
          <w:szCs w:val="24"/>
        </w:rPr>
        <w:t>3、目标ETF发生的重大影响事件，如转换运作方式、与其他基金合并、终止基金合同以及召开基金份额持有人大会等。</w:t>
      </w:r>
    </w:p>
    <w:p>
      <w:pPr>
        <w:pStyle w:val="21"/>
        <w:ind w:firstLine="480"/>
        <w:rPr>
          <w:rFonts w:cs="宋体"/>
          <w:bCs/>
          <w:sz w:val="24"/>
          <w:szCs w:val="24"/>
        </w:rPr>
      </w:pPr>
      <w:r>
        <w:rPr>
          <w:rFonts w:hint="eastAsia" w:cs="宋体"/>
          <w:bCs/>
          <w:sz w:val="24"/>
          <w:szCs w:val="24"/>
        </w:rPr>
        <w:t>4、本基金投资于基金管理人以及基金管理人关联方所管理基金的情况。</w:t>
      </w:r>
    </w:p>
    <w:p>
      <w:pPr>
        <w:pStyle w:val="21"/>
        <w:ind w:firstLine="480"/>
        <w:rPr>
          <w:rFonts w:cs="宋体"/>
          <w:bCs/>
          <w:sz w:val="24"/>
          <w:szCs w:val="24"/>
        </w:rPr>
      </w:pPr>
      <w:r>
        <w:rPr>
          <w:rFonts w:hint="eastAsia" w:cs="宋体"/>
          <w:bCs/>
          <w:sz w:val="24"/>
          <w:szCs w:val="24"/>
        </w:rPr>
        <w:t>（十五）参与融资及转融通证券出借业务的信息披露</w:t>
      </w:r>
    </w:p>
    <w:p>
      <w:pPr>
        <w:pStyle w:val="21"/>
        <w:adjustRightInd w:val="0"/>
        <w:snapToGrid w:val="0"/>
        <w:ind w:firstLine="480"/>
        <w:rPr>
          <w:rFonts w:cs="宋体"/>
          <w:bCs/>
          <w:sz w:val="24"/>
          <w:szCs w:val="24"/>
        </w:rPr>
      </w:pPr>
      <w:r>
        <w:rPr>
          <w:rFonts w:hint="eastAsia" w:cs="宋体"/>
          <w:bCs/>
          <w:sz w:val="24"/>
          <w:szCs w:val="24"/>
        </w:rPr>
        <w:t>本基金参与融资及转融通证券出借业务的，基金管理人应当在季度报告、中期报告和年度报告等定期报告和招募说明书（更新）等文件中披露参与融资及转融通证券出借交易情况，包括投资策略、业务开展情况、损益情况、风险及其管理情况等，并就报告期内本基金参与转融通证券出借业务发生的重大关联交易事项做详细说明。</w:t>
      </w:r>
    </w:p>
    <w:p>
      <w:pPr>
        <w:pStyle w:val="21"/>
        <w:adjustRightInd w:val="0"/>
        <w:snapToGrid w:val="0"/>
        <w:ind w:firstLine="480"/>
        <w:rPr>
          <w:rFonts w:cs="宋体"/>
          <w:bCs/>
          <w:sz w:val="24"/>
          <w:szCs w:val="24"/>
        </w:rPr>
      </w:pPr>
      <w:r>
        <w:rPr>
          <w:rFonts w:hint="eastAsia" w:cs="宋体"/>
          <w:bCs/>
          <w:sz w:val="24"/>
          <w:szCs w:val="24"/>
        </w:rPr>
        <w:t>（十六）实施侧袋机制期间的信息披露</w:t>
      </w:r>
    </w:p>
    <w:p>
      <w:pPr>
        <w:pStyle w:val="21"/>
        <w:adjustRightInd w:val="0"/>
        <w:snapToGrid w:val="0"/>
        <w:ind w:firstLine="480"/>
        <w:rPr>
          <w:rFonts w:cs="宋体"/>
          <w:bCs/>
          <w:sz w:val="24"/>
          <w:szCs w:val="24"/>
        </w:rPr>
      </w:pPr>
      <w:r>
        <w:rPr>
          <w:rFonts w:hint="eastAsia" w:cs="宋体"/>
          <w:bCs/>
          <w:sz w:val="24"/>
          <w:szCs w:val="24"/>
        </w:rPr>
        <w:t xml:space="preserve">本基金实施侧袋机制的，相关信息披露义务人应当根据法律法规、基金合同和招募说明书的规定进行信息披露，详见本招募说明书“第十六部分 </w:t>
      </w:r>
      <w:r>
        <w:rPr>
          <w:rFonts w:cs="宋体"/>
          <w:bCs/>
          <w:sz w:val="24"/>
          <w:szCs w:val="24"/>
        </w:rPr>
        <w:t xml:space="preserve"> 侧袋机制</w:t>
      </w:r>
      <w:r>
        <w:rPr>
          <w:rFonts w:hint="eastAsia" w:cs="宋体"/>
          <w:bCs/>
          <w:sz w:val="24"/>
          <w:szCs w:val="24"/>
        </w:rPr>
        <w:t>”的规定。</w:t>
      </w:r>
    </w:p>
    <w:p>
      <w:pPr>
        <w:adjustRightInd w:val="0"/>
        <w:snapToGrid w:val="0"/>
        <w:spacing w:line="360" w:lineRule="auto"/>
        <w:ind w:firstLine="480" w:firstLineChars="200"/>
        <w:rPr>
          <w:rFonts w:ascii="宋体" w:hAnsi="宋体"/>
          <w:bCs/>
          <w:sz w:val="24"/>
        </w:rPr>
      </w:pPr>
      <w:r>
        <w:rPr>
          <w:rFonts w:hint="eastAsia" w:ascii="宋体" w:hAnsi="宋体"/>
          <w:bCs/>
          <w:sz w:val="24"/>
        </w:rPr>
        <w:t>（十七）投资流通受限证券信息披露</w:t>
      </w:r>
    </w:p>
    <w:p>
      <w:pPr>
        <w:adjustRightInd w:val="0"/>
        <w:snapToGrid w:val="0"/>
        <w:spacing w:line="360" w:lineRule="auto"/>
        <w:ind w:firstLine="480" w:firstLineChars="200"/>
        <w:rPr>
          <w:rFonts w:ascii="宋体" w:hAnsi="宋体"/>
          <w:bCs/>
          <w:sz w:val="24"/>
        </w:rPr>
      </w:pPr>
      <w:r>
        <w:rPr>
          <w:rFonts w:hint="eastAsia" w:ascii="宋体" w:hAnsi="宋体"/>
          <w:bCs/>
          <w:sz w:val="24"/>
        </w:rPr>
        <w:t>基金管理人应在基金投资非公开发行股票后两个交易日内，在中国证监会规定媒介披露所投资非公开发行股票的名称、数量、总成本、账面价值，以及总成本和账面价值占基金资产净值的比例、锁定期等信息。</w:t>
      </w:r>
    </w:p>
    <w:p>
      <w:pPr>
        <w:pStyle w:val="21"/>
        <w:adjustRightInd w:val="0"/>
        <w:snapToGrid w:val="0"/>
        <w:ind w:firstLine="480"/>
        <w:rPr>
          <w:rFonts w:cs="宋体"/>
          <w:bCs/>
          <w:sz w:val="24"/>
          <w:szCs w:val="24"/>
        </w:rPr>
      </w:pPr>
      <w:r>
        <w:rPr>
          <w:rFonts w:hint="eastAsia" w:cs="宋体"/>
          <w:bCs/>
          <w:sz w:val="24"/>
          <w:szCs w:val="24"/>
        </w:rPr>
        <w:t>（十八）中国证监会规定的其他信息。</w:t>
      </w:r>
    </w:p>
    <w:p>
      <w:pPr>
        <w:pStyle w:val="21"/>
        <w:adjustRightInd w:val="0"/>
        <w:snapToGrid w:val="0"/>
        <w:ind w:firstLine="480"/>
        <w:rPr>
          <w:rFonts w:cs="宋体"/>
          <w:bCs/>
          <w:sz w:val="24"/>
          <w:szCs w:val="24"/>
        </w:rPr>
      </w:pPr>
      <w:r>
        <w:rPr>
          <w:rFonts w:hint="eastAsia" w:cs="宋体"/>
          <w:bCs/>
          <w:sz w:val="24"/>
          <w:szCs w:val="24"/>
        </w:rPr>
        <w:t>六、信息披露事务管理</w:t>
      </w:r>
    </w:p>
    <w:p>
      <w:pPr>
        <w:pStyle w:val="21"/>
        <w:adjustRightInd w:val="0"/>
        <w:snapToGrid w:val="0"/>
        <w:ind w:firstLine="480"/>
        <w:rPr>
          <w:rFonts w:cs="宋体"/>
          <w:bCs/>
          <w:sz w:val="24"/>
          <w:szCs w:val="24"/>
        </w:rPr>
      </w:pPr>
      <w:r>
        <w:rPr>
          <w:rFonts w:hint="eastAsia" w:cs="宋体"/>
          <w:bCs/>
          <w:sz w:val="24"/>
          <w:szCs w:val="24"/>
        </w:rPr>
        <w:t>基金管理人、基金托管人应当建立健全信息披露管理制度，指定专门部门及高级管理人员负责管理信息披露事务。</w:t>
      </w:r>
    </w:p>
    <w:p>
      <w:pPr>
        <w:pStyle w:val="21"/>
        <w:adjustRightInd w:val="0"/>
        <w:snapToGrid w:val="0"/>
        <w:ind w:firstLine="480"/>
        <w:rPr>
          <w:rFonts w:cs="宋体"/>
          <w:bCs/>
          <w:sz w:val="24"/>
          <w:szCs w:val="24"/>
        </w:rPr>
      </w:pPr>
      <w:r>
        <w:rPr>
          <w:rFonts w:hint="eastAsia" w:cs="宋体"/>
          <w:bCs/>
          <w:sz w:val="24"/>
          <w:szCs w:val="24"/>
        </w:rPr>
        <w:t>基金信息披露义务人公开披露基金信息，应当符合中国证监会相关基金信息披露内容与格式准则等法律法规的规定。</w:t>
      </w:r>
    </w:p>
    <w:p>
      <w:pPr>
        <w:pStyle w:val="21"/>
        <w:adjustRightInd w:val="0"/>
        <w:snapToGrid w:val="0"/>
        <w:ind w:firstLine="480"/>
        <w:rPr>
          <w:rFonts w:cs="宋体"/>
          <w:bCs/>
          <w:sz w:val="24"/>
          <w:szCs w:val="24"/>
        </w:rPr>
      </w:pPr>
      <w:r>
        <w:rPr>
          <w:rFonts w:hint="eastAsia" w:cs="宋体"/>
          <w:bCs/>
          <w:sz w:val="24"/>
          <w:szCs w:val="24"/>
        </w:rPr>
        <w:t>基金托管人应当按照相关法律法规、中国证监会的规定和基金合同的约定，对基金管理人编制的各类基金净值信息、基金份额申购赎回价格、基金定期报告、更新的招募说明书、基金产品资料概要、基金清算报告等公开披露的相关基金信息进行复核、审查，并向基金管理人进行书面或电子确认。</w:t>
      </w:r>
    </w:p>
    <w:p>
      <w:pPr>
        <w:pStyle w:val="21"/>
        <w:adjustRightInd w:val="0"/>
        <w:snapToGrid w:val="0"/>
        <w:ind w:firstLine="480"/>
        <w:rPr>
          <w:rFonts w:cs="宋体"/>
          <w:bCs/>
          <w:sz w:val="24"/>
          <w:szCs w:val="24"/>
        </w:rPr>
      </w:pPr>
      <w:r>
        <w:rPr>
          <w:rFonts w:hint="eastAsia" w:cs="宋体"/>
          <w:bCs/>
          <w:sz w:val="24"/>
          <w:szCs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pPr>
        <w:pStyle w:val="21"/>
        <w:adjustRightInd w:val="0"/>
        <w:snapToGrid w:val="0"/>
        <w:ind w:firstLine="480"/>
        <w:rPr>
          <w:rFonts w:cs="宋体"/>
          <w:bCs/>
          <w:sz w:val="24"/>
          <w:szCs w:val="24"/>
        </w:rPr>
      </w:pPr>
      <w:r>
        <w:rPr>
          <w:rFonts w:hint="eastAsia" w:cs="宋体"/>
          <w:bCs/>
          <w:sz w:val="24"/>
          <w:szCs w:val="24"/>
        </w:rPr>
        <w:t>基金管理人、基金托管人除依法在规定媒介上披露信息外，还可以根据需要在其他公共媒介披露信息，但是其他公共媒介不得早于规定媒介披露信息，并且在不同媒介上披露同一信息的内容应当一致。</w:t>
      </w:r>
    </w:p>
    <w:p>
      <w:pPr>
        <w:pStyle w:val="21"/>
        <w:adjustRightInd w:val="0"/>
        <w:snapToGrid w:val="0"/>
        <w:ind w:firstLine="480"/>
        <w:rPr>
          <w:rFonts w:cs="宋体"/>
          <w:bCs/>
          <w:sz w:val="24"/>
          <w:szCs w:val="24"/>
        </w:rPr>
      </w:pPr>
      <w:r>
        <w:rPr>
          <w:rFonts w:hint="eastAsia" w:cs="宋体"/>
          <w:bCs/>
          <w:sz w:val="24"/>
          <w:szCs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pPr>
        <w:pStyle w:val="21"/>
        <w:adjustRightInd w:val="0"/>
        <w:snapToGrid w:val="0"/>
        <w:ind w:firstLine="480"/>
        <w:rPr>
          <w:rFonts w:cs="宋体"/>
          <w:bCs/>
          <w:sz w:val="24"/>
          <w:szCs w:val="24"/>
        </w:rPr>
      </w:pPr>
      <w:r>
        <w:rPr>
          <w:rFonts w:hint="eastAsia" w:cs="宋体"/>
          <w:bCs/>
          <w:sz w:val="24"/>
          <w:szCs w:val="24"/>
        </w:rPr>
        <w:t>为基金信息披露义务人公开披露的基金信息出具审计报告、法律意见书的专业机构，应当制作工作底稿，并将相关档案至少保存到基金合同终止后10年。</w:t>
      </w:r>
    </w:p>
    <w:p>
      <w:pPr>
        <w:pStyle w:val="21"/>
        <w:adjustRightInd w:val="0"/>
        <w:snapToGrid w:val="0"/>
        <w:ind w:firstLine="480"/>
        <w:rPr>
          <w:rFonts w:cs="宋体"/>
          <w:bCs/>
          <w:sz w:val="24"/>
          <w:szCs w:val="24"/>
        </w:rPr>
      </w:pPr>
      <w:r>
        <w:rPr>
          <w:rFonts w:hint="eastAsia" w:cs="宋体"/>
          <w:bCs/>
          <w:sz w:val="24"/>
          <w:szCs w:val="24"/>
        </w:rPr>
        <w:t>七、信息披露文件的存放与查阅</w:t>
      </w:r>
    </w:p>
    <w:p>
      <w:pPr>
        <w:pStyle w:val="21"/>
        <w:adjustRightInd w:val="0"/>
        <w:snapToGrid w:val="0"/>
        <w:ind w:firstLine="480"/>
        <w:rPr>
          <w:rFonts w:cs="宋体"/>
          <w:bCs/>
          <w:sz w:val="24"/>
          <w:szCs w:val="24"/>
        </w:rPr>
      </w:pPr>
      <w:r>
        <w:rPr>
          <w:rFonts w:hint="eastAsia" w:cs="宋体"/>
          <w:bCs/>
          <w:sz w:val="24"/>
          <w:szCs w:val="24"/>
        </w:rPr>
        <w:t>依法必须披露的信息发布后，基金管理人、基金托管人应当按照相关法律法规规定将信息置备于各自住所，供社会公众查阅、复制。</w:t>
      </w:r>
    </w:p>
    <w:p>
      <w:pPr>
        <w:pStyle w:val="21"/>
        <w:adjustRightInd w:val="0"/>
        <w:snapToGrid w:val="0"/>
        <w:ind w:firstLine="480"/>
        <w:rPr>
          <w:rFonts w:cs="宋体"/>
          <w:bCs/>
          <w:sz w:val="24"/>
          <w:szCs w:val="24"/>
        </w:rPr>
      </w:pPr>
      <w:r>
        <w:rPr>
          <w:rFonts w:hint="eastAsia" w:cs="宋体"/>
          <w:bCs/>
          <w:sz w:val="24"/>
          <w:szCs w:val="24"/>
        </w:rPr>
        <w:t>八、暂停或延迟信息披露的情形</w:t>
      </w:r>
    </w:p>
    <w:p>
      <w:pPr>
        <w:pStyle w:val="21"/>
        <w:adjustRightInd w:val="0"/>
        <w:snapToGrid w:val="0"/>
        <w:ind w:firstLine="480"/>
        <w:rPr>
          <w:rFonts w:cs="宋体"/>
          <w:bCs/>
          <w:sz w:val="24"/>
          <w:szCs w:val="24"/>
        </w:rPr>
      </w:pPr>
      <w:r>
        <w:rPr>
          <w:rFonts w:hint="eastAsia" w:cs="宋体"/>
          <w:bCs/>
          <w:sz w:val="24"/>
          <w:szCs w:val="24"/>
        </w:rPr>
        <w:t>当出现下述情况时，基金管理人和基金托管人可暂停或延迟披露基金相关信息：</w:t>
      </w:r>
    </w:p>
    <w:p>
      <w:pPr>
        <w:pStyle w:val="21"/>
        <w:adjustRightInd w:val="0"/>
        <w:snapToGrid w:val="0"/>
        <w:ind w:firstLine="480"/>
        <w:rPr>
          <w:rFonts w:cs="宋体"/>
          <w:bCs/>
          <w:sz w:val="24"/>
          <w:szCs w:val="24"/>
        </w:rPr>
      </w:pPr>
      <w:r>
        <w:rPr>
          <w:rFonts w:hint="eastAsia" w:cs="宋体"/>
          <w:bCs/>
          <w:sz w:val="24"/>
          <w:szCs w:val="24"/>
        </w:rPr>
        <w:t>（一）基金投资所涉及的证券/期货交易所遇法定节假日或因其他原因暂停营业时；</w:t>
      </w:r>
    </w:p>
    <w:p>
      <w:pPr>
        <w:pStyle w:val="21"/>
        <w:adjustRightInd w:val="0"/>
        <w:snapToGrid w:val="0"/>
        <w:ind w:firstLine="480"/>
        <w:rPr>
          <w:rFonts w:cs="宋体"/>
          <w:bCs/>
          <w:sz w:val="24"/>
          <w:szCs w:val="24"/>
        </w:rPr>
      </w:pPr>
      <w:r>
        <w:rPr>
          <w:rFonts w:hint="eastAsia" w:cs="宋体"/>
          <w:bCs/>
          <w:sz w:val="24"/>
          <w:szCs w:val="24"/>
        </w:rPr>
        <w:t>（二）不可抗力；</w:t>
      </w:r>
    </w:p>
    <w:p>
      <w:pPr>
        <w:pStyle w:val="21"/>
        <w:adjustRightInd w:val="0"/>
        <w:snapToGrid w:val="0"/>
        <w:ind w:firstLine="480"/>
        <w:rPr>
          <w:rFonts w:cs="宋体"/>
          <w:color w:val="000000"/>
          <w:kern w:val="0"/>
          <w:sz w:val="24"/>
          <w:szCs w:val="24"/>
        </w:rPr>
      </w:pPr>
      <w:r>
        <w:rPr>
          <w:rFonts w:hint="eastAsia" w:cs="宋体"/>
          <w:bCs/>
          <w:sz w:val="24"/>
          <w:szCs w:val="24"/>
        </w:rPr>
        <w:t>（三）法律法规规定、中国证监会或基金合同认定的其他情形</w:t>
      </w:r>
      <w:r>
        <w:rPr>
          <w:rFonts w:hint="eastAsia" w:cs="宋体"/>
          <w:sz w:val="24"/>
          <w:szCs w:val="24"/>
        </w:rPr>
        <w:t>。</w:t>
      </w:r>
    </w:p>
    <w:bookmarkEnd w:id="38"/>
    <w:p>
      <w:pPr>
        <w:pStyle w:val="21"/>
        <w:keepNext/>
        <w:pageBreakBefore/>
        <w:adjustRightInd w:val="0"/>
        <w:snapToGrid w:val="0"/>
        <w:ind w:firstLine="0" w:firstLineChars="0"/>
        <w:jc w:val="center"/>
        <w:outlineLvl w:val="0"/>
        <w:rPr>
          <w:sz w:val="24"/>
        </w:rPr>
      </w:pPr>
      <w:bookmarkStart w:id="51" w:name="_Toc103003358"/>
      <w:bookmarkStart w:id="52" w:name="_Toc32444"/>
      <w:r>
        <w:rPr>
          <w:rFonts w:hint="eastAsia" w:cs="Arial"/>
          <w:b/>
          <w:bCs/>
          <w:kern w:val="32"/>
          <w:sz w:val="32"/>
          <w:szCs w:val="32"/>
        </w:rPr>
        <w:t>第十六部分  侧袋机制</w:t>
      </w:r>
      <w:bookmarkEnd w:id="51"/>
      <w:bookmarkEnd w:id="52"/>
    </w:p>
    <w:p>
      <w:pPr>
        <w:pStyle w:val="21"/>
        <w:adjustRightInd w:val="0"/>
        <w:snapToGrid w:val="0"/>
        <w:ind w:firstLine="480"/>
        <w:rPr>
          <w:sz w:val="24"/>
        </w:rPr>
      </w:pPr>
    </w:p>
    <w:p>
      <w:pPr>
        <w:pStyle w:val="21"/>
        <w:adjustRightInd w:val="0"/>
        <w:snapToGrid w:val="0"/>
        <w:ind w:firstLine="480"/>
        <w:rPr>
          <w:sz w:val="24"/>
        </w:rPr>
      </w:pPr>
      <w:r>
        <w:rPr>
          <w:rFonts w:hint="eastAsia"/>
          <w:sz w:val="24"/>
        </w:rPr>
        <w:t>一、侧袋机制的实施条件、实施程序</w:t>
      </w:r>
    </w:p>
    <w:p>
      <w:pPr>
        <w:pStyle w:val="21"/>
        <w:adjustRightInd w:val="0"/>
        <w:snapToGrid w:val="0"/>
        <w:ind w:firstLine="480"/>
        <w:rPr>
          <w:sz w:val="24"/>
        </w:rPr>
      </w:pPr>
      <w:r>
        <w:rPr>
          <w:rFonts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pStyle w:val="21"/>
        <w:adjustRightInd w:val="0"/>
        <w:snapToGrid w:val="0"/>
        <w:ind w:firstLine="480"/>
        <w:rPr>
          <w:sz w:val="24"/>
        </w:rPr>
      </w:pPr>
      <w:r>
        <w:rPr>
          <w:rFonts w:hint="eastAsia"/>
          <w:sz w:val="24"/>
        </w:rPr>
        <w:t>基金管理人应当在启用侧袋机制后及时发布临时公告，并及时聘请符合《中华人民共和国证券法》规定的会计师事务所进行审计并披露专项审计意见。</w:t>
      </w:r>
    </w:p>
    <w:p>
      <w:pPr>
        <w:pStyle w:val="21"/>
        <w:adjustRightInd w:val="0"/>
        <w:snapToGrid w:val="0"/>
        <w:ind w:firstLine="480"/>
        <w:rPr>
          <w:sz w:val="24"/>
        </w:rPr>
      </w:pPr>
      <w:r>
        <w:rPr>
          <w:rFonts w:hint="eastAsia"/>
          <w:sz w:val="24"/>
        </w:rPr>
        <w:t>二、侧袋机制实施期间的基金运作安排</w:t>
      </w:r>
    </w:p>
    <w:p>
      <w:pPr>
        <w:pStyle w:val="21"/>
        <w:adjustRightInd w:val="0"/>
        <w:snapToGrid w:val="0"/>
        <w:ind w:firstLine="480"/>
        <w:rPr>
          <w:sz w:val="24"/>
        </w:rPr>
      </w:pPr>
      <w:r>
        <w:rPr>
          <w:rFonts w:hint="eastAsia"/>
          <w:sz w:val="24"/>
        </w:rPr>
        <w:t>（一）基金份额的申购与赎回</w:t>
      </w:r>
    </w:p>
    <w:p>
      <w:pPr>
        <w:pStyle w:val="21"/>
        <w:adjustRightInd w:val="0"/>
        <w:snapToGrid w:val="0"/>
        <w:ind w:firstLine="480"/>
        <w:rPr>
          <w:sz w:val="24"/>
        </w:rPr>
      </w:pPr>
      <w:r>
        <w:rPr>
          <w:rFonts w:hint="eastAsia"/>
          <w:sz w:val="24"/>
        </w:rPr>
        <w:t>1、启用侧袋机制当日，基金登记机构以基金份额持有人的原有账户为基础，按照当日份额，确认相应侧袋账户基金份额持有人名册和份额；当日收到的申购申请，按照启用侧袋机制后的主袋账户份额办理；当日收到的赎回申请，仅办理主袋账户的赎回申请并支付赎回款项。</w:t>
      </w:r>
    </w:p>
    <w:p>
      <w:pPr>
        <w:pStyle w:val="21"/>
        <w:adjustRightInd w:val="0"/>
        <w:snapToGrid w:val="0"/>
        <w:ind w:firstLine="480"/>
        <w:rPr>
          <w:sz w:val="24"/>
        </w:rPr>
      </w:pPr>
      <w:r>
        <w:rPr>
          <w:rFonts w:hint="eastAsia"/>
          <w:sz w:val="24"/>
        </w:rPr>
        <w:t>2、实施侧袋机制期间，基金管理人不办理侧袋账户份额的申购、赎回和转换；同时，基金管理人按照基金合同和本招募说明书的约定办理主袋账户份额的赎回，并根据主袋账户运作情况确定是否暂停申购。</w:t>
      </w:r>
    </w:p>
    <w:p>
      <w:pPr>
        <w:pStyle w:val="21"/>
        <w:adjustRightInd w:val="0"/>
        <w:snapToGrid w:val="0"/>
        <w:ind w:firstLine="480"/>
        <w:rPr>
          <w:sz w:val="24"/>
        </w:rPr>
      </w:pPr>
      <w:r>
        <w:rPr>
          <w:rFonts w:hint="eastAsia"/>
          <w:sz w:val="24"/>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pPr>
        <w:pStyle w:val="21"/>
        <w:adjustRightInd w:val="0"/>
        <w:snapToGrid w:val="0"/>
        <w:ind w:firstLine="480"/>
        <w:rPr>
          <w:sz w:val="24"/>
        </w:rPr>
      </w:pPr>
      <w:r>
        <w:rPr>
          <w:rFonts w:hint="eastAsia"/>
          <w:sz w:val="24"/>
        </w:rPr>
        <w:t>（二）实施侧袋机制期间的基金投资</w:t>
      </w:r>
    </w:p>
    <w:p>
      <w:pPr>
        <w:pStyle w:val="21"/>
        <w:adjustRightInd w:val="0"/>
        <w:snapToGrid w:val="0"/>
        <w:ind w:firstLine="480"/>
        <w:rPr>
          <w:sz w:val="24"/>
        </w:rPr>
      </w:pPr>
      <w:r>
        <w:rPr>
          <w:rFonts w:hint="eastAsia"/>
          <w:sz w:val="24"/>
        </w:rPr>
        <w:t>侧袋机制实施期间，本招募说明书“基金的投资”部分约定的投资组合比例、投资策略、组合限制、业绩比较基准、风险收益特征等约定仅适用于主袋账户。基金管理人计算各项投资运作指标和基金业绩指标时仅需考虑主袋账户资产。</w:t>
      </w:r>
    </w:p>
    <w:p>
      <w:pPr>
        <w:pStyle w:val="21"/>
        <w:adjustRightInd w:val="0"/>
        <w:snapToGrid w:val="0"/>
        <w:ind w:firstLine="480"/>
        <w:rPr>
          <w:sz w:val="24"/>
        </w:rPr>
      </w:pPr>
      <w:r>
        <w:rPr>
          <w:rFonts w:hint="eastAsia"/>
          <w:sz w:val="24"/>
        </w:rPr>
        <w:t>基金管理人原则上应当在侧袋机制启用后20个交易日内完成对主袋账户投资组合的调整，因资产流动性受限等中国证监会规定的情形除外。</w:t>
      </w:r>
    </w:p>
    <w:p>
      <w:pPr>
        <w:pStyle w:val="21"/>
        <w:adjustRightInd w:val="0"/>
        <w:snapToGrid w:val="0"/>
        <w:ind w:firstLine="480"/>
        <w:rPr>
          <w:sz w:val="24"/>
        </w:rPr>
      </w:pPr>
      <w:r>
        <w:rPr>
          <w:rFonts w:hint="eastAsia"/>
          <w:sz w:val="24"/>
        </w:rPr>
        <w:t>基金管理人不得在侧袋账户中进行除特定资产处置变现以外的其他投资操作。</w:t>
      </w:r>
    </w:p>
    <w:p>
      <w:pPr>
        <w:pStyle w:val="21"/>
        <w:adjustRightInd w:val="0"/>
        <w:snapToGrid w:val="0"/>
        <w:ind w:firstLine="480"/>
        <w:rPr>
          <w:sz w:val="24"/>
        </w:rPr>
      </w:pPr>
      <w:r>
        <w:rPr>
          <w:rFonts w:hint="eastAsia"/>
          <w:sz w:val="24"/>
        </w:rPr>
        <w:t>（三）实施侧袋账户期间的基金费用</w:t>
      </w:r>
    </w:p>
    <w:p>
      <w:pPr>
        <w:pStyle w:val="21"/>
        <w:adjustRightInd w:val="0"/>
        <w:snapToGrid w:val="0"/>
        <w:ind w:firstLine="480"/>
        <w:rPr>
          <w:sz w:val="24"/>
        </w:rPr>
      </w:pPr>
      <w:r>
        <w:rPr>
          <w:rFonts w:hint="eastAsia"/>
          <w:sz w:val="24"/>
        </w:rPr>
        <w:t>1、侧袋机制实施期间，侧袋账户资产不收取基金管理费。</w:t>
      </w:r>
    </w:p>
    <w:p>
      <w:pPr>
        <w:pStyle w:val="21"/>
        <w:adjustRightInd w:val="0"/>
        <w:snapToGrid w:val="0"/>
        <w:ind w:firstLine="480"/>
        <w:rPr>
          <w:sz w:val="24"/>
        </w:rPr>
      </w:pPr>
      <w:r>
        <w:rPr>
          <w:rFonts w:hint="eastAsia"/>
          <w:sz w:val="24"/>
        </w:rPr>
        <w:t>2、与侧袋账户有关的费用可从侧袋账户中列支，但应待侧袋账户资产变现后方可列支，有关费用可酌情收取或减免。</w:t>
      </w:r>
    </w:p>
    <w:p>
      <w:pPr>
        <w:pStyle w:val="21"/>
        <w:adjustRightInd w:val="0"/>
        <w:snapToGrid w:val="0"/>
        <w:ind w:firstLine="480"/>
        <w:rPr>
          <w:sz w:val="24"/>
        </w:rPr>
      </w:pPr>
      <w:r>
        <w:rPr>
          <w:rFonts w:hint="eastAsia"/>
          <w:sz w:val="24"/>
        </w:rPr>
        <w:t>（四）基金的收益分配</w:t>
      </w:r>
    </w:p>
    <w:p>
      <w:pPr>
        <w:pStyle w:val="21"/>
        <w:adjustRightInd w:val="0"/>
        <w:snapToGrid w:val="0"/>
        <w:ind w:firstLine="480"/>
        <w:rPr>
          <w:sz w:val="24"/>
        </w:rPr>
      </w:pPr>
      <w:r>
        <w:rPr>
          <w:rFonts w:hint="eastAsia"/>
          <w:sz w:val="24"/>
        </w:rPr>
        <w:t>侧袋机制实施期间，在主袋账户份额满足基金合同收益分配条件的情形下，基金管理人可对主袋账户份额进行收益分配。侧袋账户不进行收益分配。</w:t>
      </w:r>
    </w:p>
    <w:p>
      <w:pPr>
        <w:pStyle w:val="21"/>
        <w:adjustRightInd w:val="0"/>
        <w:snapToGrid w:val="0"/>
        <w:ind w:firstLine="480"/>
        <w:rPr>
          <w:sz w:val="24"/>
        </w:rPr>
      </w:pPr>
      <w:r>
        <w:rPr>
          <w:rFonts w:hint="eastAsia"/>
          <w:sz w:val="24"/>
        </w:rPr>
        <w:t>（五）侧袋机制的信息披露</w:t>
      </w:r>
    </w:p>
    <w:p>
      <w:pPr>
        <w:pStyle w:val="21"/>
        <w:adjustRightInd w:val="0"/>
        <w:snapToGrid w:val="0"/>
        <w:ind w:firstLine="480"/>
        <w:rPr>
          <w:sz w:val="24"/>
        </w:rPr>
      </w:pPr>
      <w:r>
        <w:rPr>
          <w:rFonts w:hint="eastAsia"/>
          <w:sz w:val="24"/>
        </w:rPr>
        <w:t>1、基金净值信息</w:t>
      </w:r>
    </w:p>
    <w:p>
      <w:pPr>
        <w:pStyle w:val="21"/>
        <w:adjustRightInd w:val="0"/>
        <w:snapToGrid w:val="0"/>
        <w:ind w:firstLine="480"/>
        <w:rPr>
          <w:sz w:val="24"/>
        </w:rPr>
      </w:pPr>
      <w:r>
        <w:rPr>
          <w:rFonts w:hint="eastAsia"/>
          <w:sz w:val="24"/>
        </w:rPr>
        <w:t>基金管理人应按照本招募说明书“基金的信息披露”部分规定的基金净值信息披露方式和频率披露主袋账户份额的基金份额净值和基金份额累计净值。实施侧袋机制期间本基金暂停披露侧袋账户份额净值。</w:t>
      </w:r>
    </w:p>
    <w:p>
      <w:pPr>
        <w:pStyle w:val="21"/>
        <w:adjustRightInd w:val="0"/>
        <w:snapToGrid w:val="0"/>
        <w:ind w:firstLine="480"/>
        <w:rPr>
          <w:sz w:val="24"/>
        </w:rPr>
      </w:pPr>
      <w:r>
        <w:rPr>
          <w:rFonts w:hint="eastAsia"/>
          <w:sz w:val="24"/>
        </w:rPr>
        <w:t>2、定期报告</w:t>
      </w:r>
    </w:p>
    <w:p>
      <w:pPr>
        <w:pStyle w:val="21"/>
        <w:adjustRightInd w:val="0"/>
        <w:snapToGrid w:val="0"/>
        <w:ind w:firstLine="480"/>
        <w:rPr>
          <w:sz w:val="24"/>
        </w:rPr>
      </w:pPr>
      <w:r>
        <w:rPr>
          <w:rFonts w:hint="eastAsia"/>
          <w:sz w:val="24"/>
        </w:rPr>
        <w:t>侧袋机制实施期间，基金管理人应当在基金定期报告中披露报告期内特定资产处置进展情况，披露报告期末特定资产可变现净值或净值区间的，该净值或净值区间并不代表特定资产最终的变现价格，不作为基金管理人对特定资产最终变现价格的承诺。</w:t>
      </w:r>
    </w:p>
    <w:p>
      <w:pPr>
        <w:pStyle w:val="21"/>
        <w:adjustRightInd w:val="0"/>
        <w:snapToGrid w:val="0"/>
        <w:ind w:firstLine="480"/>
        <w:rPr>
          <w:sz w:val="24"/>
        </w:rPr>
      </w:pPr>
      <w:r>
        <w:rPr>
          <w:rFonts w:hint="eastAsia"/>
          <w:sz w:val="24"/>
        </w:rPr>
        <w:t>3、临时公告</w:t>
      </w:r>
    </w:p>
    <w:p>
      <w:pPr>
        <w:pStyle w:val="21"/>
        <w:adjustRightInd w:val="0"/>
        <w:snapToGrid w:val="0"/>
        <w:ind w:firstLine="480"/>
        <w:rPr>
          <w:sz w:val="24"/>
        </w:rPr>
      </w:pPr>
      <w:r>
        <w:rPr>
          <w:rFonts w:hint="eastAsia"/>
          <w:sz w:val="24"/>
        </w:rPr>
        <w:t>基金管理人在启用侧袋机制、处置特定资产、终止侧袋机制以及发生其他可能对投资者利益产生重大影响的事项后应及时发布临时公告。</w:t>
      </w:r>
    </w:p>
    <w:p>
      <w:pPr>
        <w:pStyle w:val="21"/>
        <w:adjustRightInd w:val="0"/>
        <w:snapToGrid w:val="0"/>
        <w:ind w:firstLine="480"/>
        <w:rPr>
          <w:sz w:val="24"/>
        </w:rPr>
      </w:pPr>
      <w:r>
        <w:rPr>
          <w:rFonts w:hint="eastAsia"/>
          <w:sz w:val="24"/>
        </w:rPr>
        <w:t>启用侧袋机制的临时公告内容应当包括启用原因及程序、特定资产流动性和估值情况、对投资者申购赎回的影响、风险提示等重要信息。</w:t>
      </w:r>
    </w:p>
    <w:p>
      <w:pPr>
        <w:pStyle w:val="21"/>
        <w:adjustRightInd w:val="0"/>
        <w:snapToGrid w:val="0"/>
        <w:ind w:firstLine="480"/>
        <w:rPr>
          <w:sz w:val="24"/>
        </w:rPr>
      </w:pPr>
      <w:r>
        <w:rPr>
          <w:rFonts w:hint="eastAsia"/>
          <w:sz w:val="24"/>
        </w:rPr>
        <w:t>处置特定资产的临时公告内容应当包括特定资产处置价格和时间、向侧袋账户份额持有人支付的款项、相关费用发生情况等重要信息。</w:t>
      </w:r>
    </w:p>
    <w:p>
      <w:pPr>
        <w:pStyle w:val="21"/>
        <w:adjustRightInd w:val="0"/>
        <w:snapToGrid w:val="0"/>
        <w:ind w:firstLine="480"/>
        <w:rPr>
          <w:sz w:val="24"/>
        </w:rPr>
      </w:pPr>
      <w:r>
        <w:rPr>
          <w:rFonts w:hint="eastAsia"/>
          <w:sz w:val="24"/>
        </w:rPr>
        <w:t>（六）侧袋账户中特定资产的处置变现和支付</w:t>
      </w:r>
    </w:p>
    <w:p>
      <w:pPr>
        <w:pStyle w:val="21"/>
        <w:adjustRightInd w:val="0"/>
        <w:snapToGrid w:val="0"/>
        <w:ind w:firstLine="480"/>
        <w:rPr>
          <w:sz w:val="24"/>
        </w:rPr>
      </w:pPr>
      <w:r>
        <w:rPr>
          <w:rFonts w:hint="eastAsia"/>
          <w:sz w:val="24"/>
        </w:rPr>
        <w:t>特定资产以可出售、可转让、恢复交易等方式恢复流动性后，基金管理人应当按照基金份额持有人利益最大化原则，采取将特定资产予以处置变现等方式，及时向侧袋账户份额持有人支付对应款项。</w:t>
      </w:r>
    </w:p>
    <w:p>
      <w:pPr>
        <w:pStyle w:val="21"/>
        <w:adjustRightInd w:val="0"/>
        <w:snapToGrid w:val="0"/>
        <w:ind w:firstLine="480"/>
        <w:rPr>
          <w:sz w:val="24"/>
        </w:rPr>
      </w:pPr>
      <w:r>
        <w:rPr>
          <w:rFonts w:hint="eastAsia"/>
          <w:sz w:val="24"/>
        </w:rPr>
        <w:t>终止侧袋机制后，基金管理人及时聘请符合《中华人民共和国证券法》规定的会计师事务所进行审计并披露专项审计意见。</w:t>
      </w:r>
    </w:p>
    <w:p>
      <w:pPr>
        <w:pStyle w:val="21"/>
        <w:adjustRightInd w:val="0"/>
        <w:snapToGrid w:val="0"/>
        <w:ind w:firstLine="480"/>
      </w:pPr>
      <w:r>
        <w:rPr>
          <w:rFonts w:hint="eastAsia"/>
          <w:sz w:val="24"/>
        </w:rPr>
        <w:t>三、本部分关于侧袋机制的相关规定，凡是直接引用法律法规或监管规则的部分，如将来法律法规或监管规则修改导致相关内容被取消或变更的，基金管理人经与基金托管人协商一致并履行适当程序后，可直接对本部分内容进行修改和调整，无需召开基金份额持有人大会审议。</w:t>
      </w:r>
    </w:p>
    <w:p>
      <w:pPr>
        <w:pStyle w:val="21"/>
        <w:adjustRightInd w:val="0"/>
        <w:snapToGrid w:val="0"/>
      </w:pPr>
    </w:p>
    <w:p>
      <w:pPr>
        <w:pStyle w:val="2"/>
        <w:pageBreakBefore/>
        <w:spacing w:line="360" w:lineRule="auto"/>
        <w:jc w:val="center"/>
        <w:rPr>
          <w:rFonts w:ascii="宋体" w:hAnsi="宋体"/>
        </w:rPr>
      </w:pPr>
      <w:bookmarkStart w:id="53" w:name="_Toc103003359"/>
      <w:r>
        <w:rPr>
          <w:rFonts w:ascii="宋体" w:hAnsi="宋体"/>
        </w:rPr>
        <w:t>第</w:t>
      </w:r>
      <w:r>
        <w:rPr>
          <w:rFonts w:hint="eastAsia" w:ascii="宋体" w:hAnsi="宋体"/>
        </w:rPr>
        <w:t>十七</w:t>
      </w:r>
      <w:r>
        <w:rPr>
          <w:rFonts w:ascii="宋体" w:hAnsi="宋体"/>
        </w:rPr>
        <w:t>部分</w:t>
      </w:r>
      <w:r>
        <w:rPr>
          <w:rFonts w:hint="eastAsia" w:ascii="宋体" w:hAnsi="宋体"/>
        </w:rPr>
        <w:t xml:space="preserve">  风险揭示</w:t>
      </w:r>
      <w:bookmarkEnd w:id="53"/>
    </w:p>
    <w:p>
      <w:pPr>
        <w:pStyle w:val="21"/>
        <w:ind w:firstLine="480" w:firstLineChars="0"/>
        <w:rPr>
          <w:sz w:val="24"/>
        </w:rPr>
      </w:pPr>
    </w:p>
    <w:p>
      <w:pPr>
        <w:pStyle w:val="21"/>
        <w:adjustRightInd w:val="0"/>
        <w:snapToGrid w:val="0"/>
        <w:ind w:firstLine="480"/>
        <w:rPr>
          <w:rFonts w:cs="宋体"/>
          <w:sz w:val="24"/>
        </w:rPr>
      </w:pPr>
      <w:r>
        <w:rPr>
          <w:rFonts w:hint="eastAsia" w:cs="宋体"/>
          <w:sz w:val="24"/>
        </w:rPr>
        <w:t>一、市场风险</w:t>
      </w:r>
    </w:p>
    <w:p>
      <w:pPr>
        <w:pStyle w:val="21"/>
        <w:adjustRightInd w:val="0"/>
        <w:snapToGrid w:val="0"/>
        <w:ind w:firstLine="480"/>
        <w:rPr>
          <w:rFonts w:cs="宋体"/>
          <w:sz w:val="24"/>
        </w:rPr>
      </w:pPr>
      <w:r>
        <w:rPr>
          <w:rFonts w:hint="eastAsia" w:cs="宋体"/>
          <w:sz w:val="24"/>
        </w:rPr>
        <w:t>本基金主要投资于证券市场，证券价格受整体政治、经济、社会等环境因素的影响会产生波动，从而对本基金的投资产生潜在风险，导致本基金的收益水平发生波动。</w:t>
      </w:r>
    </w:p>
    <w:p>
      <w:pPr>
        <w:pStyle w:val="21"/>
        <w:adjustRightInd w:val="0"/>
        <w:snapToGrid w:val="0"/>
        <w:ind w:firstLine="480"/>
        <w:rPr>
          <w:rFonts w:cs="宋体"/>
          <w:sz w:val="24"/>
        </w:rPr>
      </w:pPr>
      <w:r>
        <w:rPr>
          <w:rFonts w:hint="eastAsia" w:cs="宋体"/>
          <w:sz w:val="24"/>
        </w:rPr>
        <w:t>1、政策风险</w:t>
      </w:r>
    </w:p>
    <w:p>
      <w:pPr>
        <w:pStyle w:val="21"/>
        <w:adjustRightInd w:val="0"/>
        <w:snapToGrid w:val="0"/>
        <w:ind w:firstLine="480"/>
        <w:rPr>
          <w:rFonts w:cs="宋体"/>
          <w:sz w:val="24"/>
        </w:rPr>
      </w:pPr>
      <w:r>
        <w:rPr>
          <w:rFonts w:hint="eastAsia" w:cs="宋体"/>
          <w:sz w:val="24"/>
        </w:rPr>
        <w:t>政策风险是指国家货币政策、财政政策、产业政策等宏观经济政策发生重大变化而导致的本基金投资对象的价格波动，从而给投资人带来的风险。</w:t>
      </w:r>
    </w:p>
    <w:p>
      <w:pPr>
        <w:pStyle w:val="21"/>
        <w:adjustRightInd w:val="0"/>
        <w:snapToGrid w:val="0"/>
        <w:ind w:firstLine="480"/>
        <w:rPr>
          <w:rFonts w:cs="宋体"/>
          <w:sz w:val="24"/>
        </w:rPr>
      </w:pPr>
      <w:r>
        <w:rPr>
          <w:rFonts w:hint="eastAsia" w:cs="宋体"/>
          <w:sz w:val="24"/>
        </w:rPr>
        <w:t>2、经济周期风险</w:t>
      </w:r>
    </w:p>
    <w:p>
      <w:pPr>
        <w:pStyle w:val="21"/>
        <w:adjustRightInd w:val="0"/>
        <w:snapToGrid w:val="0"/>
        <w:ind w:firstLine="480"/>
        <w:rPr>
          <w:rFonts w:cs="宋体"/>
          <w:sz w:val="24"/>
        </w:rPr>
      </w:pPr>
      <w:r>
        <w:rPr>
          <w:rFonts w:hint="eastAsia" w:cs="宋体"/>
          <w:sz w:val="24"/>
        </w:rPr>
        <w:t>经济运行具有周期性的特点，市场的收益水平随经济运行的周期性变动而变动，本基金所投资的权益类和/或债券类相关投资工具的收益水平也会随之变化，从而产生风险。</w:t>
      </w:r>
    </w:p>
    <w:p>
      <w:pPr>
        <w:pStyle w:val="21"/>
        <w:adjustRightInd w:val="0"/>
        <w:snapToGrid w:val="0"/>
        <w:ind w:firstLine="480"/>
        <w:rPr>
          <w:rFonts w:cs="宋体"/>
          <w:sz w:val="24"/>
        </w:rPr>
      </w:pPr>
      <w:r>
        <w:rPr>
          <w:rFonts w:hint="eastAsia" w:cs="宋体"/>
          <w:sz w:val="24"/>
        </w:rPr>
        <w:t>3、利率风险</w:t>
      </w:r>
    </w:p>
    <w:p>
      <w:pPr>
        <w:pStyle w:val="21"/>
        <w:adjustRightInd w:val="0"/>
        <w:snapToGrid w:val="0"/>
        <w:ind w:firstLine="480"/>
        <w:rPr>
          <w:rFonts w:cs="宋体"/>
          <w:sz w:val="24"/>
        </w:rPr>
      </w:pPr>
      <w:r>
        <w:rPr>
          <w:rFonts w:hint="eastAsia" w:cs="宋体"/>
          <w:sz w:val="24"/>
        </w:rPr>
        <w:t>金融市场利率的波动会导致证券市场价格和收益率的变动。利率不仅直接影响着债券的价格和收益率，还影响着企业的融资成本和利润。基金投资于权益类和/或债券类相关投资工具，其收益水平可能会受到利率变化的影响。</w:t>
      </w:r>
    </w:p>
    <w:p>
      <w:pPr>
        <w:pStyle w:val="21"/>
        <w:adjustRightInd w:val="0"/>
        <w:snapToGrid w:val="0"/>
        <w:ind w:firstLine="480"/>
        <w:rPr>
          <w:rFonts w:cs="宋体"/>
          <w:sz w:val="24"/>
        </w:rPr>
      </w:pPr>
      <w:r>
        <w:rPr>
          <w:rFonts w:hint="eastAsia" w:cs="宋体"/>
          <w:sz w:val="24"/>
        </w:rPr>
        <w:t>4、购买力风险</w:t>
      </w:r>
    </w:p>
    <w:p>
      <w:pPr>
        <w:pStyle w:val="21"/>
        <w:adjustRightInd w:val="0"/>
        <w:snapToGrid w:val="0"/>
        <w:ind w:firstLine="480"/>
        <w:rPr>
          <w:rFonts w:cs="宋体"/>
          <w:sz w:val="24"/>
        </w:rPr>
      </w:pPr>
      <w:r>
        <w:rPr>
          <w:rFonts w:hint="eastAsia" w:cs="宋体"/>
          <w:sz w:val="24"/>
        </w:rPr>
        <w:t>基金的一部分收益将通过现金形式来分配，而现金的购买力可能因为通货膨胀的影响而下降，从而给投资人带来实际收益水平下降的风险。</w:t>
      </w:r>
    </w:p>
    <w:p>
      <w:pPr>
        <w:pStyle w:val="21"/>
        <w:adjustRightInd w:val="0"/>
        <w:snapToGrid w:val="0"/>
        <w:ind w:firstLine="480"/>
        <w:rPr>
          <w:rFonts w:cs="宋体"/>
          <w:sz w:val="24"/>
        </w:rPr>
      </w:pPr>
      <w:r>
        <w:rPr>
          <w:rFonts w:hint="eastAsia" w:cs="宋体"/>
          <w:sz w:val="24"/>
        </w:rPr>
        <w:t>5、再投资风险</w:t>
      </w:r>
    </w:p>
    <w:p>
      <w:pPr>
        <w:pStyle w:val="21"/>
        <w:adjustRightInd w:val="0"/>
        <w:snapToGrid w:val="0"/>
        <w:ind w:firstLine="480"/>
        <w:rPr>
          <w:rFonts w:cs="宋体"/>
          <w:sz w:val="24"/>
        </w:rPr>
      </w:pPr>
      <w:r>
        <w:rPr>
          <w:rFonts w:hint="eastAsia" w:cs="宋体"/>
          <w:sz w:val="24"/>
        </w:rPr>
        <w:t>市场利率下降将影响债券利息收入的再投资收益率。</w:t>
      </w:r>
    </w:p>
    <w:p>
      <w:pPr>
        <w:pStyle w:val="21"/>
        <w:adjustRightInd w:val="0"/>
        <w:snapToGrid w:val="0"/>
        <w:ind w:firstLine="480"/>
        <w:rPr>
          <w:rFonts w:cs="宋体"/>
          <w:sz w:val="24"/>
        </w:rPr>
      </w:pPr>
      <w:r>
        <w:rPr>
          <w:rFonts w:hint="eastAsia" w:cs="宋体"/>
          <w:sz w:val="24"/>
        </w:rPr>
        <w:t>6、债券发行人提前兑付风险</w:t>
      </w:r>
    </w:p>
    <w:p>
      <w:pPr>
        <w:pStyle w:val="21"/>
        <w:adjustRightInd w:val="0"/>
        <w:snapToGrid w:val="0"/>
        <w:ind w:firstLine="480"/>
        <w:rPr>
          <w:rFonts w:cs="宋体"/>
          <w:sz w:val="24"/>
        </w:rPr>
      </w:pPr>
      <w:r>
        <w:rPr>
          <w:rFonts w:hint="eastAsia" w:cs="宋体"/>
          <w:sz w:val="24"/>
        </w:rPr>
        <w:t>当利率下降时，拥有提前兑付权的债券发行人往往会行使该类权利。在此情形下，基金经理不得不将兑付资金再投资到收益率更低的债券上，从而影响投资组合的整体回报率。</w:t>
      </w:r>
    </w:p>
    <w:p>
      <w:pPr>
        <w:pStyle w:val="21"/>
        <w:adjustRightInd w:val="0"/>
        <w:snapToGrid w:val="0"/>
        <w:ind w:firstLine="480"/>
        <w:rPr>
          <w:rFonts w:cs="宋体"/>
          <w:sz w:val="24"/>
        </w:rPr>
      </w:pPr>
      <w:r>
        <w:rPr>
          <w:rFonts w:hint="eastAsia" w:cs="宋体"/>
          <w:sz w:val="24"/>
        </w:rPr>
        <w:t>7、上市公司经营风险</w:t>
      </w:r>
    </w:p>
    <w:p>
      <w:pPr>
        <w:pStyle w:val="21"/>
        <w:adjustRightInd w:val="0"/>
        <w:snapToGrid w:val="0"/>
        <w:ind w:firstLine="480"/>
        <w:rPr>
          <w:rFonts w:cs="宋体"/>
          <w:sz w:val="24"/>
        </w:rPr>
      </w:pPr>
      <w:r>
        <w:rPr>
          <w:rFonts w:hint="eastAsia" w:cs="宋体"/>
          <w:sz w:val="24"/>
        </w:rPr>
        <w:t>上市公司的经营状况受多种因素的影响，如管理能力、行业竞争、市场前景、技术更新、财务状况、新产品研究开发等都会导致公司盈利发生变化。如果基金所投资的上市公司经营不善，其股票价格可能下跌，或者能够用于分配的利润减少，使基金投资收益下降。上市公司还可能出现难以预见的变化。虽然基金可以通过投资多样化来分散这种非系统风险，但不能完全避免。</w:t>
      </w:r>
    </w:p>
    <w:p>
      <w:pPr>
        <w:pStyle w:val="21"/>
        <w:adjustRightInd w:val="0"/>
        <w:snapToGrid w:val="0"/>
        <w:ind w:firstLine="480"/>
        <w:rPr>
          <w:rFonts w:cs="宋体"/>
          <w:sz w:val="24"/>
        </w:rPr>
      </w:pPr>
      <w:r>
        <w:rPr>
          <w:rFonts w:hint="eastAsia" w:cs="宋体"/>
          <w:sz w:val="24"/>
        </w:rPr>
        <w:t>8、信用风险</w:t>
      </w:r>
    </w:p>
    <w:p>
      <w:pPr>
        <w:pStyle w:val="21"/>
        <w:adjustRightInd w:val="0"/>
        <w:snapToGrid w:val="0"/>
        <w:ind w:firstLine="480"/>
        <w:rPr>
          <w:rFonts w:cs="宋体"/>
          <w:sz w:val="24"/>
        </w:rPr>
      </w:pPr>
      <w:r>
        <w:rPr>
          <w:rFonts w:hint="eastAsia" w:cs="宋体"/>
          <w:sz w:val="24"/>
        </w:rPr>
        <w:t>信用风险是指金融工具的一方到期无法履行约定义务致使本基金遭受损失的风险。基金在交易过程中可能发生交收违约或者所投资债券的发行人违约、拒绝支付到期本息等情况，从而导致基金资产损失。</w:t>
      </w:r>
    </w:p>
    <w:p>
      <w:pPr>
        <w:pStyle w:val="21"/>
        <w:adjustRightInd w:val="0"/>
        <w:snapToGrid w:val="0"/>
        <w:ind w:firstLine="480"/>
        <w:rPr>
          <w:rFonts w:cs="宋体"/>
          <w:sz w:val="24"/>
        </w:rPr>
      </w:pPr>
      <w:r>
        <w:rPr>
          <w:rFonts w:hint="eastAsia" w:cs="宋体"/>
          <w:sz w:val="24"/>
        </w:rPr>
        <w:t>9、通货膨胀风险</w:t>
      </w:r>
    </w:p>
    <w:p>
      <w:pPr>
        <w:pStyle w:val="21"/>
        <w:adjustRightInd w:val="0"/>
        <w:snapToGrid w:val="0"/>
        <w:ind w:firstLine="480"/>
        <w:rPr>
          <w:rFonts w:cs="宋体"/>
          <w:sz w:val="24"/>
        </w:rPr>
      </w:pPr>
      <w:r>
        <w:rPr>
          <w:rFonts w:hint="eastAsia" w:cs="宋体"/>
          <w:sz w:val="24"/>
        </w:rPr>
        <w:t>由于通货膨胀率提高，基金的实际投资价值会因此降低。</w:t>
      </w:r>
    </w:p>
    <w:p>
      <w:pPr>
        <w:pStyle w:val="21"/>
        <w:adjustRightInd w:val="0"/>
        <w:snapToGrid w:val="0"/>
        <w:ind w:firstLine="480"/>
        <w:rPr>
          <w:rFonts w:cs="宋体"/>
          <w:sz w:val="24"/>
        </w:rPr>
      </w:pPr>
      <w:r>
        <w:rPr>
          <w:rFonts w:hint="eastAsia" w:cs="宋体"/>
          <w:sz w:val="24"/>
        </w:rPr>
        <w:t>10、法律风险</w:t>
      </w:r>
    </w:p>
    <w:p>
      <w:pPr>
        <w:pStyle w:val="21"/>
        <w:adjustRightInd w:val="0"/>
        <w:snapToGrid w:val="0"/>
        <w:ind w:firstLine="480"/>
        <w:rPr>
          <w:rFonts w:cs="宋体"/>
          <w:sz w:val="24"/>
        </w:rPr>
      </w:pPr>
      <w:r>
        <w:rPr>
          <w:rFonts w:hint="eastAsia" w:cs="宋体"/>
          <w:sz w:val="24"/>
        </w:rPr>
        <w:t>由于法律法规方面的原因，某些市场行为受到限制或合同不能正常执行，导致了基金资产损失的风险。</w:t>
      </w:r>
    </w:p>
    <w:p>
      <w:pPr>
        <w:pStyle w:val="21"/>
        <w:adjustRightInd w:val="0"/>
        <w:snapToGrid w:val="0"/>
        <w:ind w:firstLine="480"/>
        <w:rPr>
          <w:rFonts w:cs="宋体"/>
          <w:sz w:val="24"/>
        </w:rPr>
      </w:pPr>
      <w:r>
        <w:rPr>
          <w:rFonts w:hint="eastAsia" w:cs="宋体"/>
          <w:sz w:val="24"/>
        </w:rPr>
        <w:t>二、基金运作风险</w:t>
      </w:r>
    </w:p>
    <w:p>
      <w:pPr>
        <w:pStyle w:val="21"/>
        <w:adjustRightInd w:val="0"/>
        <w:snapToGrid w:val="0"/>
        <w:ind w:firstLine="480"/>
        <w:rPr>
          <w:rFonts w:cs="宋体"/>
          <w:sz w:val="24"/>
        </w:rPr>
      </w:pPr>
      <w:r>
        <w:rPr>
          <w:rFonts w:hint="eastAsia" w:cs="宋体"/>
          <w:sz w:val="24"/>
        </w:rPr>
        <w:t>1、管理风险</w:t>
      </w:r>
    </w:p>
    <w:p>
      <w:pPr>
        <w:pStyle w:val="21"/>
        <w:adjustRightInd w:val="0"/>
        <w:snapToGrid w:val="0"/>
        <w:ind w:firstLine="480"/>
        <w:rPr>
          <w:rFonts w:cs="宋体"/>
          <w:sz w:val="24"/>
        </w:rPr>
      </w:pPr>
      <w:r>
        <w:rPr>
          <w:rFonts w:hint="eastAsia" w:cs="宋体"/>
          <w:sz w:val="24"/>
        </w:rPr>
        <w:t>在本基金管理运作过程中基金管理人的知识、经验、判断、决策、技能等，会影响其对信息的占有和对经济形势、证券价格走势的判断，从而影响本基金收益水平。此外，基金管理人的职业操守和道德标准同样都有可能对本基金回报带来负面影响。因此，本基金可能因为基金管理人的因素而影响基金收益水平。</w:t>
      </w:r>
    </w:p>
    <w:p>
      <w:pPr>
        <w:pStyle w:val="21"/>
        <w:adjustRightInd w:val="0"/>
        <w:snapToGrid w:val="0"/>
        <w:ind w:firstLine="480"/>
        <w:rPr>
          <w:rFonts w:cs="宋体"/>
          <w:sz w:val="24"/>
        </w:rPr>
      </w:pPr>
      <w:r>
        <w:rPr>
          <w:rFonts w:hint="eastAsia" w:cs="宋体"/>
          <w:sz w:val="24"/>
        </w:rPr>
        <w:t>2、操作或技术风险</w:t>
      </w:r>
    </w:p>
    <w:p>
      <w:pPr>
        <w:pStyle w:val="21"/>
        <w:adjustRightInd w:val="0"/>
        <w:snapToGrid w:val="0"/>
        <w:ind w:firstLine="480"/>
        <w:rPr>
          <w:rFonts w:cs="宋体"/>
          <w:sz w:val="24"/>
        </w:rPr>
      </w:pPr>
      <w:r>
        <w:rPr>
          <w:rFonts w:hint="eastAsia" w:cs="宋体"/>
          <w:sz w:val="24"/>
        </w:rPr>
        <w:t>相关当事人在业务各环节操作过程中，可能因内部控制存在缺陷或者人为因素造成操作失误或违反操作规程等导致本基金资产损失，例如，越权违规交易、会计部门欺诈、交易错误等。</w:t>
      </w:r>
    </w:p>
    <w:p>
      <w:pPr>
        <w:pStyle w:val="21"/>
        <w:adjustRightInd w:val="0"/>
        <w:snapToGrid w:val="0"/>
        <w:ind w:firstLine="480"/>
        <w:rPr>
          <w:rFonts w:cs="宋体"/>
          <w:sz w:val="24"/>
        </w:rPr>
      </w:pPr>
      <w:r>
        <w:rPr>
          <w:rFonts w:hint="eastAsia" w:cs="宋体"/>
          <w:sz w:val="24"/>
        </w:rPr>
        <w:t>在基金的各种交易行为或者后台运作中，可能因为技术系统的故障或者差错而影响交易的正常进行或者导致投资人的利益受到影响。这种技术风险可能来自基金管理人、登记机构、销售机构、银行间债券市场、证券/期货交易所、证券登记结算机构、中央国债登记结算有限责任公司等等。</w:t>
      </w:r>
    </w:p>
    <w:p>
      <w:pPr>
        <w:pStyle w:val="21"/>
        <w:adjustRightInd w:val="0"/>
        <w:snapToGrid w:val="0"/>
        <w:ind w:firstLine="480"/>
        <w:rPr>
          <w:rFonts w:cs="宋体"/>
          <w:bCs/>
          <w:sz w:val="24"/>
        </w:rPr>
      </w:pPr>
      <w:r>
        <w:rPr>
          <w:rFonts w:hint="eastAsia" w:cs="宋体"/>
          <w:bCs/>
          <w:sz w:val="24"/>
        </w:rPr>
        <w:t>三、本基金特有的风险</w:t>
      </w:r>
    </w:p>
    <w:p>
      <w:pPr>
        <w:pStyle w:val="21"/>
        <w:adjustRightInd w:val="0"/>
        <w:snapToGrid w:val="0"/>
        <w:ind w:firstLine="480"/>
        <w:rPr>
          <w:rFonts w:cs="宋体"/>
          <w:sz w:val="24"/>
        </w:rPr>
      </w:pPr>
      <w:r>
        <w:rPr>
          <w:rFonts w:hint="eastAsia" w:cs="宋体"/>
          <w:sz w:val="24"/>
        </w:rPr>
        <w:t>1、联接基金风险</w:t>
      </w:r>
    </w:p>
    <w:p>
      <w:pPr>
        <w:pStyle w:val="21"/>
        <w:adjustRightInd w:val="0"/>
        <w:snapToGrid w:val="0"/>
        <w:ind w:firstLine="480"/>
        <w:rPr>
          <w:rFonts w:cs="宋体"/>
          <w:sz w:val="24"/>
        </w:rPr>
      </w:pPr>
      <w:r>
        <w:rPr>
          <w:rFonts w:hint="eastAsia" w:cs="宋体"/>
          <w:sz w:val="24"/>
        </w:rPr>
        <w:t>本基金为ETF联接基金，基金资产主要投资于目标ETF，在多数情况下将维持较高的目标ETF投资比例，基金净值可能会随目标ETF的净值波动而波动，目标ETF的相关风险可能直接或间接成为本基金的风险。</w:t>
      </w:r>
    </w:p>
    <w:p>
      <w:pPr>
        <w:pStyle w:val="21"/>
        <w:adjustRightInd w:val="0"/>
        <w:snapToGrid w:val="0"/>
        <w:ind w:firstLine="480"/>
        <w:rPr>
          <w:rFonts w:cs="宋体"/>
          <w:sz w:val="24"/>
        </w:rPr>
      </w:pPr>
      <w:r>
        <w:rPr>
          <w:rFonts w:hint="eastAsia" w:cs="宋体"/>
          <w:sz w:val="24"/>
        </w:rPr>
        <w:t>2、跟踪偏离风险</w:t>
      </w:r>
    </w:p>
    <w:p>
      <w:pPr>
        <w:pStyle w:val="21"/>
        <w:adjustRightInd w:val="0"/>
        <w:snapToGrid w:val="0"/>
        <w:ind w:firstLine="480"/>
        <w:rPr>
          <w:rFonts w:cs="宋体"/>
          <w:sz w:val="24"/>
        </w:rPr>
      </w:pPr>
      <w:r>
        <w:rPr>
          <w:rFonts w:hint="eastAsia" w:cs="宋体"/>
          <w:sz w:val="24"/>
        </w:rPr>
        <w:t>本基金主要投资于目标ETF基金份额，追求跟踪标的指数，获得与指数收益相似的回报。以下因素可能会影响到基金的投资组合与跟踪基准之间产生偏离：</w:t>
      </w:r>
    </w:p>
    <w:p>
      <w:pPr>
        <w:pStyle w:val="21"/>
        <w:adjustRightInd w:val="0"/>
        <w:snapToGrid w:val="0"/>
        <w:ind w:firstLine="480"/>
        <w:rPr>
          <w:rFonts w:cs="宋体"/>
          <w:sz w:val="24"/>
        </w:rPr>
      </w:pPr>
      <w:r>
        <w:rPr>
          <w:rFonts w:hint="eastAsia" w:cs="宋体"/>
          <w:sz w:val="24"/>
        </w:rPr>
        <w:t>（1）目标ETF与标的指数的偏离。</w:t>
      </w:r>
    </w:p>
    <w:p>
      <w:pPr>
        <w:pStyle w:val="21"/>
        <w:adjustRightInd w:val="0"/>
        <w:snapToGrid w:val="0"/>
        <w:ind w:firstLine="480"/>
        <w:rPr>
          <w:rFonts w:cs="宋体"/>
          <w:sz w:val="24"/>
        </w:rPr>
      </w:pPr>
      <w:r>
        <w:rPr>
          <w:rFonts w:hint="eastAsia" w:cs="宋体"/>
          <w:sz w:val="24"/>
        </w:rPr>
        <w:t>（2）基金买卖目标ETF时所产生的价格差异、交易成本和交易冲击。</w:t>
      </w:r>
    </w:p>
    <w:p>
      <w:pPr>
        <w:pStyle w:val="21"/>
        <w:adjustRightInd w:val="0"/>
        <w:snapToGrid w:val="0"/>
        <w:ind w:firstLine="480"/>
        <w:rPr>
          <w:rFonts w:cs="宋体"/>
          <w:sz w:val="24"/>
        </w:rPr>
      </w:pPr>
      <w:r>
        <w:rPr>
          <w:rFonts w:hint="eastAsia" w:cs="宋体"/>
          <w:sz w:val="24"/>
        </w:rPr>
        <w:t>（3）基金调整资产配置结构时所产生的跟踪误差。</w:t>
      </w:r>
    </w:p>
    <w:p>
      <w:pPr>
        <w:pStyle w:val="21"/>
        <w:adjustRightInd w:val="0"/>
        <w:snapToGrid w:val="0"/>
        <w:ind w:firstLine="480"/>
        <w:rPr>
          <w:rFonts w:cs="宋体"/>
          <w:sz w:val="24"/>
        </w:rPr>
      </w:pPr>
      <w:r>
        <w:rPr>
          <w:rFonts w:hint="eastAsia" w:cs="宋体"/>
          <w:sz w:val="24"/>
        </w:rPr>
        <w:t>（4）基金申购、赎回因素所产生的跟踪误差。</w:t>
      </w:r>
    </w:p>
    <w:p>
      <w:pPr>
        <w:pStyle w:val="21"/>
        <w:adjustRightInd w:val="0"/>
        <w:snapToGrid w:val="0"/>
        <w:ind w:firstLine="480"/>
        <w:rPr>
          <w:rFonts w:cs="宋体"/>
          <w:sz w:val="24"/>
        </w:rPr>
      </w:pPr>
      <w:r>
        <w:rPr>
          <w:rFonts w:hint="eastAsia" w:cs="宋体"/>
          <w:sz w:val="24"/>
        </w:rPr>
        <w:t>（5）基金现金资产拖累所产生的跟踪误差。</w:t>
      </w:r>
    </w:p>
    <w:p>
      <w:pPr>
        <w:pStyle w:val="21"/>
        <w:adjustRightInd w:val="0"/>
        <w:snapToGrid w:val="0"/>
        <w:ind w:firstLine="480"/>
        <w:rPr>
          <w:rFonts w:cs="宋体"/>
          <w:sz w:val="24"/>
        </w:rPr>
      </w:pPr>
      <w:r>
        <w:rPr>
          <w:rFonts w:hint="eastAsia" w:cs="宋体"/>
          <w:sz w:val="24"/>
        </w:rPr>
        <w:t>（6）基金的管理费和托管费所产生的跟踪误差。</w:t>
      </w:r>
    </w:p>
    <w:p>
      <w:pPr>
        <w:pStyle w:val="21"/>
        <w:adjustRightInd w:val="0"/>
        <w:snapToGrid w:val="0"/>
        <w:ind w:firstLine="480"/>
        <w:rPr>
          <w:rFonts w:cs="宋体"/>
          <w:sz w:val="24"/>
        </w:rPr>
      </w:pPr>
      <w:r>
        <w:rPr>
          <w:rFonts w:hint="eastAsia" w:cs="宋体"/>
          <w:sz w:val="24"/>
        </w:rPr>
        <w:t>（7）其他因素所产生的偏差。</w:t>
      </w:r>
    </w:p>
    <w:p>
      <w:pPr>
        <w:pStyle w:val="21"/>
        <w:adjustRightInd w:val="0"/>
        <w:snapToGrid w:val="0"/>
        <w:ind w:firstLine="480"/>
        <w:rPr>
          <w:rFonts w:cs="宋体"/>
          <w:sz w:val="24"/>
        </w:rPr>
      </w:pPr>
      <w:r>
        <w:rPr>
          <w:rFonts w:hint="eastAsia" w:cs="宋体"/>
          <w:sz w:val="24"/>
        </w:rPr>
        <w:t>3、与目标ETF业绩差异的风险</w:t>
      </w:r>
    </w:p>
    <w:p>
      <w:pPr>
        <w:pStyle w:val="21"/>
        <w:adjustRightInd w:val="0"/>
        <w:snapToGrid w:val="0"/>
        <w:ind w:firstLine="480"/>
        <w:rPr>
          <w:rFonts w:cs="宋体"/>
          <w:sz w:val="24"/>
        </w:rPr>
      </w:pPr>
      <w:r>
        <w:rPr>
          <w:rFonts w:hint="eastAsia" w:cs="宋体"/>
          <w:sz w:val="24"/>
        </w:rPr>
        <w:t>本基金为目标ETF的联接基金，但由于投资方法、交易方式等方面与目标ETF不同，本基金的业绩表现与目标ETF的业绩表现可能出现差异。</w:t>
      </w:r>
    </w:p>
    <w:p>
      <w:pPr>
        <w:pStyle w:val="21"/>
        <w:adjustRightInd w:val="0"/>
        <w:snapToGrid w:val="0"/>
        <w:ind w:firstLine="480"/>
        <w:rPr>
          <w:rFonts w:cs="宋体"/>
          <w:sz w:val="24"/>
        </w:rPr>
      </w:pPr>
      <w:r>
        <w:rPr>
          <w:rFonts w:hint="eastAsia" w:cs="宋体"/>
          <w:sz w:val="24"/>
        </w:rPr>
        <w:t>4、其他投资于目标ETF的风险</w:t>
      </w:r>
    </w:p>
    <w:p>
      <w:pPr>
        <w:pStyle w:val="21"/>
        <w:adjustRightInd w:val="0"/>
        <w:snapToGrid w:val="0"/>
        <w:ind w:firstLine="480"/>
        <w:rPr>
          <w:rFonts w:cs="宋体"/>
          <w:sz w:val="24"/>
        </w:rPr>
      </w:pPr>
      <w:r>
        <w:rPr>
          <w:rFonts w:hint="eastAsia" w:cs="宋体"/>
          <w:sz w:val="24"/>
        </w:rPr>
        <w:t>如目标ETF基金份额二级市场交易价格折溢价的风险、ETF参考IOPV决策和IOPV计算错误的风险、目标ETF退市风险、申购赎回失败风险等等。</w:t>
      </w:r>
    </w:p>
    <w:p>
      <w:pPr>
        <w:pStyle w:val="21"/>
        <w:adjustRightInd w:val="0"/>
        <w:snapToGrid w:val="0"/>
        <w:ind w:firstLine="480"/>
        <w:rPr>
          <w:rFonts w:cs="宋体"/>
          <w:sz w:val="24"/>
        </w:rPr>
      </w:pPr>
      <w:r>
        <w:rPr>
          <w:rFonts w:hint="eastAsia" w:cs="宋体"/>
          <w:sz w:val="24"/>
        </w:rPr>
        <w:t>5、跟踪误差控制未达约定目标的风险</w:t>
      </w:r>
    </w:p>
    <w:p>
      <w:pPr>
        <w:pStyle w:val="21"/>
        <w:adjustRightInd w:val="0"/>
        <w:snapToGrid w:val="0"/>
        <w:ind w:firstLine="480"/>
        <w:rPr>
          <w:rFonts w:cs="宋体"/>
          <w:sz w:val="24"/>
        </w:rPr>
      </w:pPr>
      <w:r>
        <w:rPr>
          <w:rFonts w:hint="eastAsia" w:cs="宋体"/>
          <w:sz w:val="24"/>
        </w:rPr>
        <w:t>本基金力争将本基金净值增长率与业绩比较基准之间的日均跟踪偏离度的绝对值控制在0.35%以内，年跟踪误差控制在4%以内。如因指数编制规则调整或其他因素导致跟踪偏离度和跟踪误差超过上述范围，本基金的净值表现与指数价格走势可能发生较大偏离。</w:t>
      </w:r>
    </w:p>
    <w:p>
      <w:pPr>
        <w:pStyle w:val="21"/>
        <w:adjustRightInd w:val="0"/>
        <w:snapToGrid w:val="0"/>
        <w:ind w:firstLine="480"/>
        <w:rPr>
          <w:rFonts w:cs="宋体"/>
          <w:sz w:val="24"/>
        </w:rPr>
      </w:pPr>
      <w:r>
        <w:rPr>
          <w:rFonts w:cs="宋体"/>
          <w:sz w:val="24"/>
        </w:rPr>
        <w:t>6</w:t>
      </w:r>
      <w:r>
        <w:rPr>
          <w:rFonts w:hint="eastAsia" w:cs="宋体"/>
          <w:sz w:val="24"/>
        </w:rPr>
        <w:t>、指数编制机构停止服务的风险</w:t>
      </w:r>
    </w:p>
    <w:p>
      <w:pPr>
        <w:pStyle w:val="21"/>
        <w:adjustRightInd w:val="0"/>
        <w:snapToGrid w:val="0"/>
        <w:ind w:firstLine="480"/>
        <w:rPr>
          <w:rFonts w:cs="宋体"/>
          <w:sz w:val="24"/>
        </w:rPr>
      </w:pPr>
      <w:r>
        <w:rPr>
          <w:rFonts w:hint="eastAsia" w:cs="宋体"/>
          <w:sz w:val="24"/>
        </w:rPr>
        <w:t>本基金的标的指数由指数编制机构发布并管理和维护，未来指数编制机构可能由于各种原因停止对指数的管理和维护，本基金将根据基金合同的约定自相关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自动终止。投资人将面临更换基金标的指数、转换运作方式、与其他基金合并、或者终止基金合同等风险。</w:t>
      </w:r>
    </w:p>
    <w:p>
      <w:pPr>
        <w:pStyle w:val="21"/>
        <w:adjustRightInd w:val="0"/>
        <w:snapToGrid w:val="0"/>
        <w:ind w:firstLine="480"/>
        <w:rPr>
          <w:rFonts w:cs="宋体"/>
          <w:sz w:val="24"/>
        </w:rPr>
      </w:pPr>
      <w:r>
        <w:rPr>
          <w:rFonts w:hint="eastAsia" w:cs="宋体"/>
          <w:sz w:val="24"/>
        </w:rPr>
        <w:t>自指数编制机构停止标的指数的编制及发布至解决方案确定并实施前，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pPr>
        <w:pStyle w:val="21"/>
        <w:adjustRightInd w:val="0"/>
        <w:snapToGrid w:val="0"/>
        <w:ind w:firstLine="480"/>
        <w:rPr>
          <w:rFonts w:cs="宋体"/>
          <w:sz w:val="24"/>
        </w:rPr>
      </w:pPr>
      <w:r>
        <w:rPr>
          <w:rFonts w:hint="eastAsia" w:cs="宋体"/>
          <w:sz w:val="24"/>
        </w:rPr>
        <w:t>7、成份股停牌或退市的风险</w:t>
      </w:r>
    </w:p>
    <w:p>
      <w:pPr>
        <w:pStyle w:val="21"/>
        <w:adjustRightInd w:val="0"/>
        <w:snapToGrid w:val="0"/>
        <w:ind w:firstLine="480"/>
        <w:rPr>
          <w:rFonts w:cs="宋体"/>
          <w:sz w:val="24"/>
        </w:rPr>
      </w:pPr>
      <w:r>
        <w:rPr>
          <w:rFonts w:hint="eastAsia" w:cs="宋体"/>
          <w:sz w:val="24"/>
        </w:rPr>
        <w:t>本基金主要投资于目标ETF基金份额、标的指数成份股及备选成份股，当标的指数成份股停牌或发生明显负面事件面临退市时，可能出现导致本基金的跟踪偏离度和跟踪误差扩大的风险。</w:t>
      </w:r>
    </w:p>
    <w:p>
      <w:pPr>
        <w:pStyle w:val="21"/>
        <w:adjustRightInd w:val="0"/>
        <w:snapToGrid w:val="0"/>
        <w:ind w:firstLine="480"/>
        <w:rPr>
          <w:sz w:val="24"/>
        </w:rPr>
      </w:pPr>
      <w:r>
        <w:rPr>
          <w:sz w:val="24"/>
        </w:rPr>
        <w:t>8</w:t>
      </w:r>
      <w:r>
        <w:rPr>
          <w:rFonts w:hint="eastAsia"/>
          <w:sz w:val="24"/>
        </w:rPr>
        <w:t>、标的指数变更的风险</w:t>
      </w:r>
    </w:p>
    <w:p>
      <w:pPr>
        <w:pStyle w:val="21"/>
        <w:ind w:firstLine="480"/>
        <w:rPr>
          <w:sz w:val="24"/>
        </w:rPr>
      </w:pPr>
      <w:r>
        <w:rPr>
          <w:rFonts w:hint="eastAsia"/>
          <w:sz w:val="24"/>
        </w:rPr>
        <w:t>根据基金合同的约定，因标的指数的编制与发布等原因，基金管理人可以依据维护投资者合法权益的原则，</w:t>
      </w:r>
      <w:r>
        <w:rPr>
          <w:rFonts w:hint="eastAsia"/>
          <w:bCs/>
          <w:sz w:val="24"/>
        </w:rPr>
        <w:t>在履行适当程序后</w:t>
      </w:r>
      <w:r>
        <w:rPr>
          <w:rFonts w:hint="eastAsia"/>
          <w:sz w:val="24"/>
        </w:rPr>
        <w:t>变更标的指数，或若目标ETF变更标的指数，本基金也将相应变更标的指数且继续投资于该目标ETF，本基金的投资组合随之调整，基金风险收益特征可能发生变化，且投资组合调整可能产生交易成本和机会成本，投资人需承担投资组合调整所带来的风险与成本。</w:t>
      </w:r>
    </w:p>
    <w:p>
      <w:pPr>
        <w:pStyle w:val="21"/>
        <w:adjustRightInd w:val="0"/>
        <w:snapToGrid w:val="0"/>
        <w:ind w:firstLine="480"/>
        <w:rPr>
          <w:rFonts w:cs="宋体"/>
          <w:sz w:val="24"/>
        </w:rPr>
      </w:pPr>
      <w:r>
        <w:rPr>
          <w:rFonts w:cs="宋体"/>
          <w:sz w:val="24"/>
        </w:rPr>
        <w:t>9</w:t>
      </w:r>
      <w:r>
        <w:rPr>
          <w:rFonts w:hint="eastAsia" w:cs="宋体"/>
          <w:sz w:val="24"/>
        </w:rPr>
        <w:t>、投资股指期货的风险</w:t>
      </w:r>
    </w:p>
    <w:p>
      <w:pPr>
        <w:pStyle w:val="21"/>
        <w:ind w:firstLine="480"/>
        <w:rPr>
          <w:rFonts w:cs="宋体"/>
          <w:bCs/>
          <w:sz w:val="24"/>
        </w:rPr>
      </w:pPr>
      <w:r>
        <w:rPr>
          <w:rFonts w:hint="eastAsia" w:cs="宋体"/>
          <w:bCs/>
          <w:sz w:val="24"/>
        </w:rPr>
        <w:t>本基金投资范围包括股指期货，若投资可能给本基金带来的风险包括：</w:t>
      </w:r>
    </w:p>
    <w:p>
      <w:pPr>
        <w:pStyle w:val="21"/>
        <w:adjustRightInd w:val="0"/>
        <w:snapToGrid w:val="0"/>
        <w:ind w:firstLine="480"/>
        <w:rPr>
          <w:rFonts w:cs="宋体"/>
          <w:sz w:val="24"/>
        </w:rPr>
      </w:pPr>
      <w:r>
        <w:rPr>
          <w:rFonts w:hint="eastAsia" w:cs="宋体"/>
          <w:sz w:val="24"/>
        </w:rPr>
        <w:t>（1）基差风险</w:t>
      </w:r>
    </w:p>
    <w:p>
      <w:pPr>
        <w:pStyle w:val="21"/>
        <w:adjustRightInd w:val="0"/>
        <w:snapToGrid w:val="0"/>
        <w:ind w:firstLine="480"/>
        <w:rPr>
          <w:rFonts w:cs="宋体"/>
          <w:sz w:val="24"/>
        </w:rPr>
      </w:pPr>
      <w:r>
        <w:rPr>
          <w:rFonts w:hint="eastAsia" w:cs="宋体"/>
          <w:sz w:val="24"/>
        </w:rPr>
        <w:t>在使用股指期货对冲市场风险的过程中，基金财产可能因为股指期货合约与标的指数价格波动不一致而遭受基差风险。</w:t>
      </w:r>
    </w:p>
    <w:p>
      <w:pPr>
        <w:pStyle w:val="21"/>
        <w:adjustRightInd w:val="0"/>
        <w:snapToGrid w:val="0"/>
        <w:ind w:firstLine="480"/>
        <w:rPr>
          <w:rFonts w:cs="宋体"/>
          <w:sz w:val="24"/>
        </w:rPr>
      </w:pPr>
      <w:r>
        <w:rPr>
          <w:rFonts w:hint="eastAsia" w:cs="宋体"/>
          <w:sz w:val="24"/>
        </w:rPr>
        <w:t>（2）系统性风险</w:t>
      </w:r>
    </w:p>
    <w:p>
      <w:pPr>
        <w:pStyle w:val="21"/>
        <w:adjustRightInd w:val="0"/>
        <w:snapToGrid w:val="0"/>
        <w:ind w:firstLine="480"/>
        <w:rPr>
          <w:rFonts w:cs="宋体"/>
          <w:sz w:val="24"/>
        </w:rPr>
      </w:pPr>
      <w:r>
        <w:rPr>
          <w:rFonts w:hint="eastAsia" w:cs="宋体"/>
          <w:sz w:val="24"/>
        </w:rPr>
        <w:t>组合现货的β可能不足或者过高，组合风险敞口过大，股指期货空头头寸不能完全对冲现货的风险，组合存在系统性暴露的风险。</w:t>
      </w:r>
    </w:p>
    <w:p>
      <w:pPr>
        <w:pStyle w:val="21"/>
        <w:adjustRightInd w:val="0"/>
        <w:snapToGrid w:val="0"/>
        <w:ind w:firstLine="480"/>
        <w:rPr>
          <w:rFonts w:cs="宋体"/>
          <w:sz w:val="24"/>
        </w:rPr>
      </w:pPr>
      <w:r>
        <w:rPr>
          <w:rFonts w:hint="eastAsia" w:cs="宋体"/>
          <w:sz w:val="24"/>
        </w:rPr>
        <w:t>（3）保证金风险</w:t>
      </w:r>
    </w:p>
    <w:p>
      <w:pPr>
        <w:pStyle w:val="21"/>
        <w:adjustRightInd w:val="0"/>
        <w:snapToGrid w:val="0"/>
        <w:ind w:firstLine="480"/>
        <w:rPr>
          <w:rFonts w:cs="宋体"/>
          <w:sz w:val="24"/>
        </w:rPr>
      </w:pPr>
      <w:r>
        <w:rPr>
          <w:rFonts w:hint="eastAsia" w:cs="宋体"/>
          <w:sz w:val="24"/>
        </w:rPr>
        <w:t>产品的期货头寸，如果未预留足够现金，在市场出现极端情况时，可能遭遇保证金不足而被强制平仓的风险。</w:t>
      </w:r>
    </w:p>
    <w:p>
      <w:pPr>
        <w:pStyle w:val="21"/>
        <w:adjustRightInd w:val="0"/>
        <w:snapToGrid w:val="0"/>
        <w:ind w:firstLine="480"/>
        <w:rPr>
          <w:rFonts w:cs="宋体"/>
          <w:sz w:val="24"/>
        </w:rPr>
      </w:pPr>
      <w:r>
        <w:rPr>
          <w:rFonts w:hint="eastAsia" w:cs="宋体"/>
          <w:sz w:val="24"/>
        </w:rPr>
        <w:t>（4）合约展期风险</w:t>
      </w:r>
    </w:p>
    <w:p>
      <w:pPr>
        <w:pStyle w:val="21"/>
        <w:adjustRightInd w:val="0"/>
        <w:snapToGrid w:val="0"/>
        <w:ind w:firstLine="480"/>
        <w:rPr>
          <w:rFonts w:cs="宋体"/>
          <w:sz w:val="24"/>
        </w:rPr>
      </w:pPr>
      <w:r>
        <w:rPr>
          <w:rFonts w:hint="eastAsia" w:cs="宋体"/>
          <w:sz w:val="24"/>
        </w:rPr>
        <w:t>组合持有的主力合约交割日临近，需要更换合约进行展期，如果合约的基差朝不利的方向变化或流动性不足，展期会面临风险。</w:t>
      </w:r>
    </w:p>
    <w:p>
      <w:pPr>
        <w:pStyle w:val="21"/>
        <w:adjustRightInd w:val="0"/>
        <w:snapToGrid w:val="0"/>
        <w:ind w:firstLine="480"/>
        <w:rPr>
          <w:rFonts w:cs="宋体"/>
          <w:sz w:val="24"/>
        </w:rPr>
      </w:pPr>
      <w:r>
        <w:rPr>
          <w:rFonts w:cs="宋体"/>
          <w:sz w:val="24"/>
        </w:rPr>
        <w:t>10</w:t>
      </w:r>
      <w:r>
        <w:rPr>
          <w:rFonts w:hint="eastAsia" w:cs="宋体"/>
          <w:sz w:val="24"/>
        </w:rPr>
        <w:t>、投资股票期权的风险</w:t>
      </w:r>
    </w:p>
    <w:p>
      <w:pPr>
        <w:pStyle w:val="21"/>
        <w:ind w:firstLine="480"/>
        <w:rPr>
          <w:rFonts w:cs="宋体"/>
          <w:bCs/>
          <w:sz w:val="24"/>
        </w:rPr>
      </w:pPr>
      <w:r>
        <w:rPr>
          <w:rFonts w:hint="eastAsia" w:cs="宋体"/>
          <w:bCs/>
          <w:sz w:val="24"/>
        </w:rPr>
        <w:t>本基金投资范围包括股票期权，若投资可能给本基金带来的风险包括：</w:t>
      </w:r>
    </w:p>
    <w:p>
      <w:pPr>
        <w:pStyle w:val="21"/>
        <w:adjustRightInd w:val="0"/>
        <w:snapToGrid w:val="0"/>
        <w:ind w:firstLine="480"/>
        <w:rPr>
          <w:rFonts w:cs="宋体"/>
          <w:sz w:val="24"/>
        </w:rPr>
      </w:pPr>
      <w:r>
        <w:rPr>
          <w:rFonts w:hint="eastAsia" w:cs="宋体"/>
          <w:sz w:val="24"/>
        </w:rPr>
        <w:t>（1）流动性风险</w:t>
      </w:r>
    </w:p>
    <w:p>
      <w:pPr>
        <w:pStyle w:val="21"/>
        <w:adjustRightInd w:val="0"/>
        <w:snapToGrid w:val="0"/>
        <w:ind w:firstLine="480"/>
        <w:rPr>
          <w:rFonts w:cs="宋体"/>
          <w:sz w:val="24"/>
        </w:rPr>
      </w:pPr>
      <w:r>
        <w:rPr>
          <w:rFonts w:hint="eastAsia" w:cs="宋体"/>
          <w:sz w:val="24"/>
        </w:rPr>
        <w:t>由于股票期权合约众多，交易较为分散，股票期权市场的流动性一般较期货市场要低，尤其是深度实值和虚值的股票期权，成交量稀少，持有这些股票期权的投资者容易遇到无法成交、平仓出局的局面。</w:t>
      </w:r>
    </w:p>
    <w:p>
      <w:pPr>
        <w:pStyle w:val="21"/>
        <w:adjustRightInd w:val="0"/>
        <w:snapToGrid w:val="0"/>
        <w:ind w:firstLine="480"/>
        <w:rPr>
          <w:rFonts w:cs="宋体"/>
          <w:sz w:val="24"/>
        </w:rPr>
      </w:pPr>
      <w:r>
        <w:rPr>
          <w:rFonts w:hint="eastAsia" w:cs="宋体"/>
          <w:sz w:val="24"/>
        </w:rPr>
        <w:t>（2）价格风险</w:t>
      </w:r>
    </w:p>
    <w:p>
      <w:pPr>
        <w:pStyle w:val="21"/>
        <w:adjustRightInd w:val="0"/>
        <w:snapToGrid w:val="0"/>
        <w:ind w:firstLine="480"/>
        <w:rPr>
          <w:rFonts w:cs="宋体"/>
          <w:sz w:val="24"/>
        </w:rPr>
      </w:pPr>
      <w:r>
        <w:rPr>
          <w:rFonts w:hint="eastAsia" w:cs="宋体"/>
          <w:sz w:val="24"/>
        </w:rPr>
        <w:t>股票期权买方的价格风险即为他所付出的权利金，风险具有确定性。股票期权卖方的价格风险不定，不过其所收取的权利金可以提供相应保护，当发生亏损时，可以抵消部分损失。</w:t>
      </w:r>
    </w:p>
    <w:p>
      <w:pPr>
        <w:pStyle w:val="21"/>
        <w:adjustRightInd w:val="0"/>
        <w:snapToGrid w:val="0"/>
        <w:ind w:firstLine="480"/>
        <w:rPr>
          <w:rFonts w:cs="宋体"/>
          <w:sz w:val="24"/>
        </w:rPr>
      </w:pPr>
      <w:r>
        <w:rPr>
          <w:rFonts w:hint="eastAsia" w:cs="宋体"/>
          <w:sz w:val="24"/>
        </w:rPr>
        <w:t>（3）操作风险</w:t>
      </w:r>
    </w:p>
    <w:p>
      <w:pPr>
        <w:pStyle w:val="21"/>
        <w:adjustRightInd w:val="0"/>
        <w:snapToGrid w:val="0"/>
        <w:ind w:firstLine="480"/>
        <w:rPr>
          <w:rFonts w:cs="宋体"/>
          <w:sz w:val="24"/>
        </w:rPr>
      </w:pPr>
      <w:r>
        <w:rPr>
          <w:rFonts w:hint="eastAsia" w:cs="宋体"/>
          <w:sz w:val="24"/>
        </w:rPr>
        <w:t>操作风险是指由于管理不善或者制度执行出现问题等原因所导致的风险。股票期权作为一种衍生品，虽然可以用来管理风险，但若使用不当，也会产生巨额损失。</w:t>
      </w:r>
    </w:p>
    <w:p>
      <w:pPr>
        <w:pStyle w:val="21"/>
        <w:adjustRightInd w:val="0"/>
        <w:snapToGrid w:val="0"/>
        <w:ind w:firstLine="480"/>
        <w:rPr>
          <w:rFonts w:cs="宋体"/>
          <w:sz w:val="24"/>
        </w:rPr>
      </w:pPr>
      <w:r>
        <w:rPr>
          <w:rFonts w:cs="宋体"/>
          <w:sz w:val="24"/>
        </w:rPr>
        <w:t>11</w:t>
      </w:r>
      <w:r>
        <w:rPr>
          <w:rFonts w:hint="eastAsia" w:cs="宋体"/>
          <w:sz w:val="24"/>
        </w:rPr>
        <w:t>、投资资产支持证券的风险</w:t>
      </w:r>
    </w:p>
    <w:p>
      <w:pPr>
        <w:pStyle w:val="21"/>
        <w:adjustRightInd w:val="0"/>
        <w:snapToGrid w:val="0"/>
        <w:ind w:firstLine="480"/>
        <w:rPr>
          <w:rFonts w:cs="宋体"/>
          <w:bCs/>
          <w:sz w:val="24"/>
        </w:rPr>
      </w:pPr>
      <w:r>
        <w:rPr>
          <w:rFonts w:hint="eastAsia" w:cs="宋体"/>
          <w:bCs/>
          <w:sz w:val="24"/>
        </w:rPr>
        <w:t>本基金可投资资产支持证券，资产支持证券具有一定的价格波动风险、流动性风险、信用风险等风险。价格波动风险指的是市场利率波动会导致资产支持证券的收益率和价格波动。流动性风险指的是受资产支持证券市场规模及交易活跃程度的影响，资产支持证券可能无法在同一价格水平上进行较大数量的买入或卖出，存在一定的流动性风险。信用风险指的基金所投资的资产支持证券之债务人出现违约，或在交易过程中发生交收违约，或由于资产支持证券信用质量降低导致证券价格下降，造成基金财产损失。</w:t>
      </w:r>
    </w:p>
    <w:p>
      <w:pPr>
        <w:pStyle w:val="21"/>
        <w:adjustRightInd w:val="0"/>
        <w:snapToGrid w:val="0"/>
        <w:ind w:firstLine="480"/>
        <w:rPr>
          <w:rFonts w:cs="宋体"/>
          <w:sz w:val="24"/>
        </w:rPr>
      </w:pPr>
      <w:r>
        <w:rPr>
          <w:rFonts w:cs="宋体"/>
          <w:sz w:val="24"/>
        </w:rPr>
        <w:t>12</w:t>
      </w:r>
      <w:r>
        <w:rPr>
          <w:rFonts w:hint="eastAsia" w:cs="宋体"/>
          <w:sz w:val="24"/>
        </w:rPr>
        <w:t>、参与融资交易的风险</w:t>
      </w:r>
    </w:p>
    <w:p>
      <w:pPr>
        <w:pStyle w:val="21"/>
        <w:adjustRightInd w:val="0"/>
        <w:snapToGrid w:val="0"/>
        <w:ind w:firstLine="480"/>
        <w:rPr>
          <w:rFonts w:cs="宋体"/>
          <w:sz w:val="24"/>
        </w:rPr>
      </w:pPr>
      <w:r>
        <w:rPr>
          <w:rFonts w:hint="eastAsia" w:cs="宋体"/>
          <w:sz w:val="24"/>
        </w:rPr>
        <w:t>本基金可参与融资交易，面临的风险包括但不限于：</w:t>
      </w:r>
    </w:p>
    <w:p>
      <w:pPr>
        <w:pStyle w:val="21"/>
        <w:adjustRightInd w:val="0"/>
        <w:snapToGrid w:val="0"/>
        <w:ind w:firstLine="480"/>
        <w:rPr>
          <w:rFonts w:cs="宋体"/>
          <w:sz w:val="24"/>
        </w:rPr>
      </w:pPr>
      <w:r>
        <w:rPr>
          <w:rFonts w:hint="eastAsia" w:cs="宋体"/>
          <w:sz w:val="24"/>
        </w:rPr>
        <w:t>（1）杠杆效应放大风险</w:t>
      </w:r>
    </w:p>
    <w:p>
      <w:pPr>
        <w:pStyle w:val="21"/>
        <w:adjustRightInd w:val="0"/>
        <w:snapToGrid w:val="0"/>
        <w:ind w:firstLine="480"/>
        <w:rPr>
          <w:rFonts w:cs="宋体"/>
          <w:sz w:val="24"/>
        </w:rPr>
      </w:pPr>
      <w:r>
        <w:rPr>
          <w:rFonts w:hint="eastAsia" w:cs="宋体"/>
          <w:sz w:val="24"/>
        </w:rPr>
        <w:t>投资者通过融资可以扩大交易额度，利用较少资本来获取较大利润，这必然也放大了风险。投资者将股票作为担保品进行融资时，既需要承担原有的股票价格变化带来的风险，又得承担新投资股票带来的风险，还得支付相应的利息或费用，如判断失误或操作不当，会加大亏损。</w:t>
      </w:r>
    </w:p>
    <w:p>
      <w:pPr>
        <w:pStyle w:val="21"/>
        <w:adjustRightInd w:val="0"/>
        <w:snapToGrid w:val="0"/>
        <w:ind w:firstLine="480"/>
        <w:rPr>
          <w:rFonts w:cs="宋体"/>
          <w:sz w:val="24"/>
        </w:rPr>
      </w:pPr>
      <w:r>
        <w:rPr>
          <w:rFonts w:hint="eastAsia" w:cs="宋体"/>
          <w:sz w:val="24"/>
        </w:rPr>
        <w:t>（2）担保能力及限制交易风险</w:t>
      </w:r>
    </w:p>
    <w:p>
      <w:pPr>
        <w:pStyle w:val="21"/>
        <w:adjustRightInd w:val="0"/>
        <w:snapToGrid w:val="0"/>
        <w:ind w:firstLine="480"/>
        <w:rPr>
          <w:rFonts w:cs="宋体"/>
          <w:sz w:val="24"/>
        </w:rPr>
      </w:pPr>
      <w:r>
        <w:rPr>
          <w:rFonts w:hint="eastAsia" w:cs="宋体"/>
          <w:sz w:val="24"/>
        </w:rPr>
        <w:t>单只或全部证券被暂停融资、投资者账户被暂停或取消融资资格等，这些影响可能给投资者造成经济损失。此外，投资者也可能面临由于自身维持担保比例低于融资合同约定的担保要求，且未能及时补充担保物，导致信用账户交易受到限制，从而造成经济损失。</w:t>
      </w:r>
    </w:p>
    <w:p>
      <w:pPr>
        <w:pStyle w:val="21"/>
        <w:adjustRightInd w:val="0"/>
        <w:snapToGrid w:val="0"/>
        <w:ind w:firstLine="480"/>
        <w:rPr>
          <w:rFonts w:cs="宋体"/>
          <w:sz w:val="24"/>
        </w:rPr>
      </w:pPr>
      <w:r>
        <w:rPr>
          <w:rFonts w:hint="eastAsia" w:cs="宋体"/>
          <w:sz w:val="24"/>
        </w:rPr>
        <w:t>（3）强制平仓风险</w:t>
      </w:r>
    </w:p>
    <w:p>
      <w:pPr>
        <w:pStyle w:val="21"/>
        <w:adjustRightInd w:val="0"/>
        <w:snapToGrid w:val="0"/>
        <w:ind w:firstLine="480"/>
        <w:rPr>
          <w:rFonts w:cs="宋体"/>
          <w:sz w:val="24"/>
        </w:rPr>
      </w:pPr>
      <w:r>
        <w:rPr>
          <w:rFonts w:hint="eastAsia" w:cs="宋体"/>
          <w:sz w:val="24"/>
        </w:rPr>
        <w:t>投资者在从事融资交易期间，如果不能按照约定的期限清偿债务，或上市证券价格波动，导致日终清算后维持担保比例低于警戒线，且不能按照约定追加担保物时，将面临担保物被证券公司强制平仓的风险，由此可能给投资者造成经济损失。</w:t>
      </w:r>
    </w:p>
    <w:p>
      <w:pPr>
        <w:pStyle w:val="21"/>
        <w:adjustRightInd w:val="0"/>
        <w:snapToGrid w:val="0"/>
        <w:ind w:firstLine="480"/>
        <w:rPr>
          <w:rFonts w:cs="宋体"/>
          <w:sz w:val="24"/>
        </w:rPr>
      </w:pPr>
      <w:r>
        <w:rPr>
          <w:rFonts w:hint="eastAsia" w:cs="宋体"/>
          <w:sz w:val="24"/>
        </w:rPr>
        <w:t>1</w:t>
      </w:r>
      <w:r>
        <w:rPr>
          <w:rFonts w:cs="宋体"/>
          <w:sz w:val="24"/>
        </w:rPr>
        <w:t>3</w:t>
      </w:r>
      <w:r>
        <w:rPr>
          <w:rFonts w:hint="eastAsia" w:cs="宋体"/>
          <w:sz w:val="24"/>
        </w:rPr>
        <w:t>、参与转融通证券出借业务的风险</w:t>
      </w:r>
    </w:p>
    <w:p>
      <w:pPr>
        <w:pStyle w:val="21"/>
        <w:adjustRightInd w:val="0"/>
        <w:snapToGrid w:val="0"/>
        <w:ind w:firstLine="480"/>
        <w:rPr>
          <w:rFonts w:cs="宋体"/>
          <w:sz w:val="24"/>
        </w:rPr>
      </w:pPr>
      <w:r>
        <w:rPr>
          <w:rFonts w:hint="eastAsia" w:cs="宋体"/>
          <w:sz w:val="24"/>
        </w:rPr>
        <w:t>本基金可参与转融通证券出借业务，面临的风险包括但不限于：</w:t>
      </w:r>
    </w:p>
    <w:p>
      <w:pPr>
        <w:pStyle w:val="21"/>
        <w:adjustRightInd w:val="0"/>
        <w:snapToGrid w:val="0"/>
        <w:ind w:firstLine="480"/>
        <w:rPr>
          <w:rFonts w:cs="宋体"/>
          <w:sz w:val="24"/>
        </w:rPr>
      </w:pPr>
      <w:r>
        <w:rPr>
          <w:rFonts w:hint="eastAsia" w:cs="宋体"/>
          <w:sz w:val="24"/>
        </w:rPr>
        <w:t>（1）流动性风险，面临大额赎回时可能因证券出借原因发生无法及时变现，支付赎回款项的风险。</w:t>
      </w:r>
    </w:p>
    <w:p>
      <w:pPr>
        <w:pStyle w:val="21"/>
        <w:adjustRightInd w:val="0"/>
        <w:snapToGrid w:val="0"/>
        <w:ind w:firstLine="480"/>
        <w:rPr>
          <w:rFonts w:cs="宋体"/>
          <w:sz w:val="24"/>
        </w:rPr>
      </w:pPr>
      <w:r>
        <w:rPr>
          <w:rFonts w:hint="eastAsia" w:cs="宋体"/>
          <w:sz w:val="24"/>
        </w:rPr>
        <w:t>（2）信用风险，证券出借对手方可能无法及时归还证券，无法支付相应权益补偿及借券费用的风险。</w:t>
      </w:r>
    </w:p>
    <w:p>
      <w:pPr>
        <w:pStyle w:val="21"/>
        <w:adjustRightInd w:val="0"/>
        <w:snapToGrid w:val="0"/>
        <w:ind w:firstLine="480"/>
        <w:rPr>
          <w:rFonts w:cs="宋体"/>
          <w:sz w:val="24"/>
        </w:rPr>
      </w:pPr>
      <w:r>
        <w:rPr>
          <w:rFonts w:hint="eastAsia" w:cs="宋体"/>
          <w:sz w:val="24"/>
        </w:rPr>
        <w:t>（3）市场风险，证券出借后可能面临出借期间无法及时处置证券的市场风险。</w:t>
      </w:r>
    </w:p>
    <w:p>
      <w:pPr>
        <w:pStyle w:val="21"/>
        <w:adjustRightInd w:val="0"/>
        <w:snapToGrid w:val="0"/>
        <w:ind w:firstLine="480"/>
        <w:rPr>
          <w:rFonts w:cs="宋体"/>
          <w:sz w:val="24"/>
        </w:rPr>
      </w:pPr>
      <w:r>
        <w:rPr>
          <w:rFonts w:hint="eastAsia" w:cs="宋体"/>
          <w:sz w:val="24"/>
        </w:rPr>
        <w:t>1</w:t>
      </w:r>
      <w:r>
        <w:rPr>
          <w:rFonts w:cs="宋体"/>
          <w:sz w:val="24"/>
        </w:rPr>
        <w:t>4</w:t>
      </w:r>
      <w:r>
        <w:rPr>
          <w:rFonts w:hint="eastAsia" w:cs="宋体"/>
          <w:sz w:val="24"/>
        </w:rPr>
        <w:t>、参与债券回购的风险</w:t>
      </w:r>
    </w:p>
    <w:p>
      <w:pPr>
        <w:pStyle w:val="21"/>
        <w:adjustRightInd w:val="0"/>
        <w:snapToGrid w:val="0"/>
        <w:ind w:firstLine="480"/>
        <w:rPr>
          <w:rFonts w:cs="宋体"/>
          <w:sz w:val="24"/>
        </w:rPr>
      </w:pPr>
      <w:r>
        <w:rPr>
          <w:rFonts w:hint="eastAsia" w:cs="宋体"/>
          <w:sz w:val="24"/>
        </w:rPr>
        <w:t>本基金的投资范围包括债券回购，债券回购为提升基金组合收益提供了可能，但也存在一定的风险。若本基金参与债券回购，如发生债券回购交收违约，质押券可能面临被处置的风险，因处置价格、数量、时间等的不确定，可能会给基金资产造成损失。</w:t>
      </w:r>
    </w:p>
    <w:p>
      <w:pPr>
        <w:pStyle w:val="21"/>
        <w:adjustRightInd w:val="0"/>
        <w:snapToGrid w:val="0"/>
        <w:ind w:firstLine="480"/>
        <w:rPr>
          <w:rFonts w:cs="宋体"/>
          <w:sz w:val="24"/>
        </w:rPr>
      </w:pPr>
      <w:r>
        <w:rPr>
          <w:rFonts w:cs="宋体"/>
          <w:sz w:val="24"/>
        </w:rPr>
        <w:t>15</w:t>
      </w:r>
      <w:r>
        <w:rPr>
          <w:rFonts w:hint="eastAsia" w:cs="宋体"/>
          <w:sz w:val="24"/>
        </w:rPr>
        <w:t>、基金合同终止的风险</w:t>
      </w:r>
    </w:p>
    <w:p>
      <w:pPr>
        <w:pStyle w:val="21"/>
        <w:adjustRightInd w:val="0"/>
        <w:snapToGrid w:val="0"/>
        <w:ind w:firstLine="480"/>
        <w:rPr>
          <w:rFonts w:cs="宋体"/>
          <w:bCs/>
          <w:sz w:val="24"/>
        </w:rPr>
      </w:pPr>
      <w:r>
        <w:rPr>
          <w:rFonts w:hint="eastAsia" w:cs="宋体"/>
          <w:bCs/>
          <w:sz w:val="24"/>
        </w:rPr>
        <w:t>因本基金基金合同生效后，如出现连续50个工作日出现基金份额持有人数量不满200人或者基金资产净值低于5000万元的情形，本基金将终止基金合同并进行基金财产清算，且无需召开基金份额持有人大会审议。</w:t>
      </w:r>
    </w:p>
    <w:p>
      <w:pPr>
        <w:pStyle w:val="21"/>
        <w:adjustRightInd w:val="0"/>
        <w:snapToGrid w:val="0"/>
        <w:ind w:firstLine="480"/>
        <w:rPr>
          <w:rFonts w:cs="宋体"/>
          <w:bCs/>
          <w:sz w:val="24"/>
        </w:rPr>
      </w:pPr>
      <w:r>
        <w:rPr>
          <w:rFonts w:hint="eastAsia" w:cs="宋体"/>
          <w:bCs/>
          <w:sz w:val="24"/>
        </w:rPr>
        <w:t>若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则本基金将终止基金合同，并按照基金合同约定程序进行清算。</w:t>
      </w:r>
    </w:p>
    <w:p>
      <w:pPr>
        <w:pStyle w:val="21"/>
        <w:adjustRightInd w:val="0"/>
        <w:snapToGrid w:val="0"/>
        <w:ind w:firstLine="480"/>
        <w:rPr>
          <w:rFonts w:cs="宋体"/>
          <w:bCs/>
          <w:sz w:val="24"/>
        </w:rPr>
      </w:pPr>
      <w:r>
        <w:rPr>
          <w:rFonts w:hint="eastAsia" w:cs="宋体"/>
          <w:bCs/>
          <w:sz w:val="24"/>
        </w:rPr>
        <w:t>故基金份额持有人可能面临基金合同终止无法继续投资本基金的风险。</w:t>
      </w:r>
    </w:p>
    <w:p>
      <w:pPr>
        <w:pStyle w:val="21"/>
        <w:adjustRightInd w:val="0"/>
        <w:snapToGrid w:val="0"/>
        <w:ind w:firstLine="480"/>
        <w:rPr>
          <w:rFonts w:cs="宋体"/>
          <w:sz w:val="24"/>
        </w:rPr>
      </w:pPr>
      <w:r>
        <w:rPr>
          <w:rFonts w:cs="宋体"/>
          <w:sz w:val="24"/>
        </w:rPr>
        <w:t>16</w:t>
      </w:r>
      <w:r>
        <w:rPr>
          <w:rFonts w:hint="eastAsia" w:cs="宋体"/>
          <w:sz w:val="24"/>
        </w:rPr>
        <w:t>、投资存托凭证的风险</w:t>
      </w:r>
    </w:p>
    <w:p>
      <w:pPr>
        <w:pStyle w:val="21"/>
        <w:adjustRightInd w:val="0"/>
        <w:snapToGrid w:val="0"/>
        <w:ind w:firstLine="480"/>
        <w:rPr>
          <w:rFonts w:cs="宋体"/>
          <w:sz w:val="24"/>
        </w:rPr>
      </w:pPr>
      <w:r>
        <w:rPr>
          <w:rFonts w:hint="eastAsia" w:cs="宋体"/>
          <w:sz w:val="24"/>
        </w:rPr>
        <w:t>本基金可投资存托凭证，基金净值可能受到存托凭证的境外基础证券价格波动影响，存托凭证的境外基础证券的相关风险可能直接或间接成为本基金的风险。</w:t>
      </w:r>
    </w:p>
    <w:p>
      <w:pPr>
        <w:pStyle w:val="21"/>
        <w:adjustRightInd w:val="0"/>
        <w:snapToGrid w:val="0"/>
        <w:ind w:firstLine="480"/>
        <w:rPr>
          <w:rFonts w:cs="宋体"/>
          <w:sz w:val="24"/>
        </w:rPr>
      </w:pPr>
      <w:r>
        <w:rPr>
          <w:rFonts w:hint="eastAsia" w:cs="宋体"/>
          <w:sz w:val="24"/>
        </w:rPr>
        <w:t>1</w:t>
      </w:r>
      <w:r>
        <w:rPr>
          <w:rFonts w:cs="宋体"/>
          <w:sz w:val="24"/>
        </w:rPr>
        <w:t>7</w:t>
      </w:r>
      <w:r>
        <w:rPr>
          <w:rFonts w:hint="eastAsia" w:cs="宋体"/>
          <w:sz w:val="24"/>
        </w:rPr>
        <w:t>、侧袋机制的相关风险</w:t>
      </w:r>
    </w:p>
    <w:p>
      <w:pPr>
        <w:pStyle w:val="21"/>
        <w:adjustRightInd w:val="0"/>
        <w:snapToGrid w:val="0"/>
        <w:ind w:firstLine="480"/>
        <w:rPr>
          <w:rFonts w:cs="宋体"/>
          <w:sz w:val="24"/>
        </w:rPr>
      </w:pPr>
      <w:r>
        <w:rPr>
          <w:rFonts w:hint="eastAsia" w:cs="宋体"/>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净值信息，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pPr>
        <w:pStyle w:val="21"/>
        <w:adjustRightInd w:val="0"/>
        <w:snapToGrid w:val="0"/>
        <w:ind w:firstLine="480"/>
        <w:rPr>
          <w:rFonts w:cs="宋体"/>
          <w:sz w:val="24"/>
        </w:rPr>
      </w:pPr>
      <w:r>
        <w:rPr>
          <w:rFonts w:hint="eastAsia" w:cs="宋体"/>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pPr>
        <w:pStyle w:val="21"/>
        <w:adjustRightInd w:val="0"/>
        <w:snapToGrid w:val="0"/>
        <w:ind w:firstLine="480"/>
        <w:rPr>
          <w:rFonts w:cs="宋体"/>
          <w:sz w:val="24"/>
        </w:rPr>
      </w:pPr>
      <w:r>
        <w:rPr>
          <w:rFonts w:hint="eastAsia" w:cs="宋体"/>
          <w:sz w:val="24"/>
        </w:rPr>
        <w:t>基金管理人将根据主袋账户运作情况合理确定申购政策，因此实施侧袋机制后主袋账户份额存在暂停申购的可能。</w:t>
      </w:r>
    </w:p>
    <w:p>
      <w:pPr>
        <w:pStyle w:val="21"/>
        <w:adjustRightInd w:val="0"/>
        <w:snapToGrid w:val="0"/>
        <w:ind w:firstLine="480"/>
        <w:rPr>
          <w:rFonts w:cs="宋体"/>
          <w:sz w:val="24"/>
        </w:rPr>
      </w:pPr>
      <w:r>
        <w:rPr>
          <w:rFonts w:hint="eastAsia" w:cs="宋体"/>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pPr>
        <w:pStyle w:val="21"/>
        <w:adjustRightInd w:val="0"/>
        <w:snapToGrid w:val="0"/>
        <w:ind w:firstLine="480"/>
        <w:rPr>
          <w:sz w:val="24"/>
        </w:rPr>
      </w:pPr>
      <w:r>
        <w:rPr>
          <w:rFonts w:hint="eastAsia"/>
          <w:sz w:val="24"/>
        </w:rPr>
        <w:t>1</w:t>
      </w:r>
      <w:r>
        <w:rPr>
          <w:sz w:val="24"/>
        </w:rPr>
        <w:t>8</w:t>
      </w:r>
      <w:r>
        <w:rPr>
          <w:rFonts w:hint="eastAsia"/>
          <w:sz w:val="24"/>
        </w:rPr>
        <w:t>、</w:t>
      </w:r>
      <w:r>
        <w:rPr>
          <w:sz w:val="24"/>
        </w:rPr>
        <w:t>投资科创板股票的风险</w:t>
      </w:r>
    </w:p>
    <w:p>
      <w:pPr>
        <w:autoSpaceDE w:val="0"/>
        <w:autoSpaceDN w:val="0"/>
        <w:adjustRightInd w:val="0"/>
        <w:snapToGrid w:val="0"/>
        <w:spacing w:line="360" w:lineRule="auto"/>
        <w:ind w:firstLine="480" w:firstLineChars="200"/>
        <w:jc w:val="left"/>
        <w:rPr>
          <w:rFonts w:ascii="宋体" w:hAnsi="宋体"/>
        </w:rPr>
      </w:pPr>
      <w:r>
        <w:rPr>
          <w:rFonts w:ascii="宋体" w:hAnsi="宋体"/>
          <w:sz w:val="24"/>
        </w:rPr>
        <w:t>（1）市场风险</w:t>
      </w:r>
    </w:p>
    <w:p>
      <w:pPr>
        <w:autoSpaceDE w:val="0"/>
        <w:autoSpaceDN w:val="0"/>
        <w:adjustRightInd w:val="0"/>
        <w:snapToGrid w:val="0"/>
        <w:spacing w:line="360" w:lineRule="auto"/>
        <w:ind w:firstLine="480" w:firstLineChars="200"/>
        <w:jc w:val="left"/>
        <w:rPr>
          <w:rFonts w:ascii="宋体" w:hAnsi="宋体"/>
        </w:rPr>
      </w:pPr>
      <w:r>
        <w:rPr>
          <w:rFonts w:ascii="宋体" w:hAnsi="宋体"/>
          <w:sz w:val="24"/>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pPr>
        <w:autoSpaceDE w:val="0"/>
        <w:autoSpaceDN w:val="0"/>
        <w:adjustRightInd w:val="0"/>
        <w:snapToGrid w:val="0"/>
        <w:spacing w:line="360" w:lineRule="auto"/>
        <w:ind w:firstLine="480" w:firstLineChars="200"/>
        <w:jc w:val="left"/>
        <w:rPr>
          <w:rFonts w:ascii="宋体" w:hAnsi="宋体"/>
        </w:rPr>
      </w:pPr>
      <w:r>
        <w:rPr>
          <w:rFonts w:ascii="宋体" w:hAnsi="宋体"/>
          <w:sz w:val="24"/>
        </w:rPr>
        <w:t>科创板个股上市前五日无涨跌停限制，其后涨跌幅限制在正负20%以内，个股波动幅度较其他股票加大，市场风险随之上升。</w:t>
      </w:r>
    </w:p>
    <w:p>
      <w:pPr>
        <w:autoSpaceDE w:val="0"/>
        <w:autoSpaceDN w:val="0"/>
        <w:adjustRightInd w:val="0"/>
        <w:snapToGrid w:val="0"/>
        <w:spacing w:line="360" w:lineRule="auto"/>
        <w:ind w:firstLine="480" w:firstLineChars="200"/>
        <w:jc w:val="left"/>
        <w:rPr>
          <w:rFonts w:ascii="宋体" w:hAnsi="宋体"/>
        </w:rPr>
      </w:pPr>
      <w:r>
        <w:rPr>
          <w:rFonts w:ascii="宋体" w:hAnsi="宋体"/>
          <w:sz w:val="24"/>
        </w:rPr>
        <w:t>（2）流动性风险</w:t>
      </w:r>
    </w:p>
    <w:p>
      <w:pPr>
        <w:autoSpaceDE w:val="0"/>
        <w:autoSpaceDN w:val="0"/>
        <w:adjustRightInd w:val="0"/>
        <w:snapToGrid w:val="0"/>
        <w:spacing w:line="360" w:lineRule="auto"/>
        <w:ind w:firstLine="480" w:firstLineChars="200"/>
        <w:jc w:val="left"/>
        <w:rPr>
          <w:rFonts w:ascii="宋体" w:hAnsi="宋体"/>
        </w:rPr>
      </w:pPr>
      <w:r>
        <w:rPr>
          <w:rFonts w:ascii="宋体" w:hAnsi="宋体"/>
          <w:sz w:val="24"/>
        </w:rPr>
        <w:t>科创板整体投资门槛较高，个人投资者必须满足交易满两年并且资金在50万以上才可参与，二级市场上个人投资者参与度相对较低。机构投资者在投资决策上具有一定的趋同性，将会造成市场的流动性风险。</w:t>
      </w:r>
    </w:p>
    <w:p>
      <w:pPr>
        <w:autoSpaceDE w:val="0"/>
        <w:autoSpaceDN w:val="0"/>
        <w:adjustRightInd w:val="0"/>
        <w:snapToGrid w:val="0"/>
        <w:spacing w:line="360" w:lineRule="auto"/>
        <w:ind w:firstLine="480" w:firstLineChars="200"/>
        <w:jc w:val="left"/>
        <w:rPr>
          <w:rFonts w:ascii="宋体" w:hAnsi="宋体"/>
        </w:rPr>
      </w:pPr>
      <w:r>
        <w:rPr>
          <w:rFonts w:ascii="宋体" w:hAnsi="宋体"/>
          <w:sz w:val="24"/>
        </w:rPr>
        <w:t>（3）信用风险</w:t>
      </w:r>
    </w:p>
    <w:p>
      <w:pPr>
        <w:autoSpaceDE w:val="0"/>
        <w:autoSpaceDN w:val="0"/>
        <w:adjustRightInd w:val="0"/>
        <w:snapToGrid w:val="0"/>
        <w:spacing w:line="360" w:lineRule="auto"/>
        <w:ind w:firstLine="480" w:firstLineChars="200"/>
        <w:jc w:val="left"/>
        <w:rPr>
          <w:rFonts w:ascii="宋体" w:hAnsi="宋体"/>
        </w:rPr>
      </w:pPr>
      <w:r>
        <w:rPr>
          <w:rFonts w:ascii="宋体" w:hAnsi="宋体"/>
          <w:sz w:val="24"/>
        </w:rPr>
        <w:t>科创板试点注册制，对经营状况不佳或财务数据造假的企业实行严格的退市制度，科创板个股存在退市风险。</w:t>
      </w:r>
    </w:p>
    <w:p>
      <w:pPr>
        <w:autoSpaceDE w:val="0"/>
        <w:autoSpaceDN w:val="0"/>
        <w:adjustRightInd w:val="0"/>
        <w:snapToGrid w:val="0"/>
        <w:spacing w:line="360" w:lineRule="auto"/>
        <w:ind w:firstLine="480" w:firstLineChars="200"/>
        <w:jc w:val="left"/>
        <w:rPr>
          <w:rFonts w:ascii="宋体" w:hAnsi="宋体"/>
        </w:rPr>
      </w:pPr>
      <w:r>
        <w:rPr>
          <w:rFonts w:ascii="宋体" w:hAnsi="宋体"/>
          <w:sz w:val="24"/>
        </w:rPr>
        <w:t>（4）集中度风险</w:t>
      </w:r>
    </w:p>
    <w:p>
      <w:pPr>
        <w:autoSpaceDE w:val="0"/>
        <w:autoSpaceDN w:val="0"/>
        <w:adjustRightInd w:val="0"/>
        <w:snapToGrid w:val="0"/>
        <w:spacing w:line="360" w:lineRule="auto"/>
        <w:ind w:firstLine="480" w:firstLineChars="200"/>
        <w:jc w:val="left"/>
        <w:rPr>
          <w:rFonts w:ascii="宋体" w:hAnsi="宋体"/>
        </w:rPr>
      </w:pPr>
      <w:r>
        <w:rPr>
          <w:rFonts w:ascii="宋体" w:hAnsi="宋体"/>
          <w:sz w:val="24"/>
        </w:rPr>
        <w:t>科创板为新设板块，初期可投标的较少，投资者容易集中投资于少量个股，市场可能存在高集中度状况，整体存在集中度风险。</w:t>
      </w:r>
    </w:p>
    <w:p>
      <w:pPr>
        <w:autoSpaceDE w:val="0"/>
        <w:autoSpaceDN w:val="0"/>
        <w:adjustRightInd w:val="0"/>
        <w:snapToGrid w:val="0"/>
        <w:spacing w:line="360" w:lineRule="auto"/>
        <w:ind w:firstLine="480" w:firstLineChars="200"/>
        <w:jc w:val="left"/>
        <w:rPr>
          <w:rFonts w:ascii="宋体" w:hAnsi="宋体"/>
        </w:rPr>
      </w:pPr>
      <w:r>
        <w:rPr>
          <w:rFonts w:ascii="宋体" w:hAnsi="宋体"/>
          <w:sz w:val="24"/>
        </w:rPr>
        <w:t>（5）系统性风险</w:t>
      </w:r>
    </w:p>
    <w:p>
      <w:pPr>
        <w:autoSpaceDE w:val="0"/>
        <w:autoSpaceDN w:val="0"/>
        <w:adjustRightInd w:val="0"/>
        <w:snapToGrid w:val="0"/>
        <w:spacing w:line="360" w:lineRule="auto"/>
        <w:ind w:firstLine="480" w:firstLineChars="200"/>
        <w:jc w:val="left"/>
        <w:rPr>
          <w:rFonts w:ascii="宋体" w:hAnsi="宋体"/>
        </w:rPr>
      </w:pPr>
      <w:r>
        <w:rPr>
          <w:rFonts w:ascii="宋体" w:hAnsi="宋体"/>
          <w:sz w:val="24"/>
        </w:rPr>
        <w:t>科创板企业均为市场认可度较高的科技创新企业，在企业经营及盈利模式上存在趋同，所以科创板个股相关性较高，市场表现不佳时，系统性风险将更为显著。</w:t>
      </w:r>
    </w:p>
    <w:p>
      <w:pPr>
        <w:autoSpaceDE w:val="0"/>
        <w:autoSpaceDN w:val="0"/>
        <w:adjustRightInd w:val="0"/>
        <w:snapToGrid w:val="0"/>
        <w:spacing w:line="360" w:lineRule="auto"/>
        <w:ind w:firstLine="480" w:firstLineChars="200"/>
        <w:jc w:val="left"/>
        <w:rPr>
          <w:rFonts w:ascii="宋体" w:hAnsi="宋体"/>
        </w:rPr>
      </w:pPr>
      <w:r>
        <w:rPr>
          <w:rFonts w:ascii="宋体" w:hAnsi="宋体"/>
          <w:sz w:val="24"/>
        </w:rPr>
        <w:t>（6）政策风险</w:t>
      </w:r>
    </w:p>
    <w:p>
      <w:pPr>
        <w:pStyle w:val="21"/>
        <w:adjustRightInd w:val="0"/>
        <w:snapToGrid w:val="0"/>
        <w:ind w:firstLine="480"/>
        <w:rPr>
          <w:rFonts w:cs="宋体"/>
          <w:sz w:val="24"/>
        </w:rPr>
      </w:pPr>
      <w:r>
        <w:rPr>
          <w:sz w:val="24"/>
        </w:rPr>
        <w:t>国家对高新技术产业扶持力度及重视程度的变化会对科创板企业带来较大影响，国际经济形势变化对战略新兴产业及科创板个股也会带来政策影响</w:t>
      </w:r>
      <w:r>
        <w:rPr>
          <w:rFonts w:hint="eastAsia"/>
          <w:sz w:val="24"/>
        </w:rPr>
        <w:t>。</w:t>
      </w:r>
    </w:p>
    <w:p>
      <w:pPr>
        <w:pStyle w:val="21"/>
        <w:adjustRightInd w:val="0"/>
        <w:snapToGrid w:val="0"/>
        <w:ind w:firstLine="480"/>
        <w:rPr>
          <w:rFonts w:cs="宋体"/>
          <w:sz w:val="24"/>
        </w:rPr>
      </w:pPr>
      <w:r>
        <w:rPr>
          <w:rFonts w:hint="eastAsia" w:cs="宋体"/>
          <w:sz w:val="24"/>
        </w:rPr>
        <w:t>四、流动性风险</w:t>
      </w:r>
    </w:p>
    <w:p>
      <w:pPr>
        <w:pStyle w:val="21"/>
        <w:adjustRightInd w:val="0"/>
        <w:snapToGrid w:val="0"/>
        <w:ind w:firstLine="480"/>
        <w:rPr>
          <w:rFonts w:cs="宋体"/>
          <w:sz w:val="24"/>
        </w:rPr>
      </w:pPr>
      <w:r>
        <w:rPr>
          <w:rFonts w:hint="eastAsia" w:cs="宋体"/>
          <w:sz w:val="24"/>
        </w:rPr>
        <w:t>1、基金申购、赎回安排</w:t>
      </w:r>
    </w:p>
    <w:p>
      <w:pPr>
        <w:pStyle w:val="21"/>
        <w:adjustRightInd w:val="0"/>
        <w:snapToGrid w:val="0"/>
        <w:ind w:firstLine="480"/>
        <w:rPr>
          <w:rFonts w:cs="宋体"/>
          <w:sz w:val="24"/>
        </w:rPr>
      </w:pPr>
      <w:r>
        <w:rPr>
          <w:rFonts w:hint="eastAsia" w:cs="宋体"/>
          <w:sz w:val="24"/>
        </w:rPr>
        <w:t>投资人具体请参见基金合同“第六部分  基金份额的申购与赎回”和本招募说明书“第八部分  基金份额的申购与赎回”，详细了解本基金的申购以及赎回安排。</w:t>
      </w:r>
    </w:p>
    <w:p>
      <w:pPr>
        <w:pStyle w:val="21"/>
        <w:adjustRightInd w:val="0"/>
        <w:snapToGrid w:val="0"/>
        <w:ind w:firstLine="480"/>
        <w:rPr>
          <w:rFonts w:cs="宋体"/>
          <w:sz w:val="24"/>
        </w:rPr>
      </w:pPr>
      <w:r>
        <w:rPr>
          <w:rFonts w:hint="eastAsia" w:cs="宋体"/>
          <w:sz w:val="24"/>
        </w:rPr>
        <w:t>当特定资产占前一估值日基金资产净值50%以上时，经与基金托管人协商确认后，基金管理人会暂停针对本基金进行估值，并根据实际情况审慎选择延缓支付赎回款项或暂停接受基金申购赎回申请的措施，以充分保证投资人的利益免于受损。若本基金暂停基金估值，一方面投资人将无法知晓本基金的基金份额净值，另一方面基金可能将暂停接受申购赎回申请，导致投资人无法申购或赎回本基金。</w:t>
      </w:r>
    </w:p>
    <w:p>
      <w:pPr>
        <w:pStyle w:val="21"/>
        <w:adjustRightInd w:val="0"/>
        <w:snapToGrid w:val="0"/>
        <w:ind w:firstLine="480"/>
        <w:rPr>
          <w:rFonts w:cs="宋体"/>
          <w:sz w:val="24"/>
        </w:rPr>
      </w:pPr>
      <w:r>
        <w:rPr>
          <w:rFonts w:hint="eastAsia" w:cs="宋体"/>
          <w:sz w:val="24"/>
        </w:rPr>
        <w:t>2、拟投资市场、行业及资产的流动性风险评估</w:t>
      </w:r>
    </w:p>
    <w:p>
      <w:pPr>
        <w:pStyle w:val="21"/>
        <w:adjustRightInd w:val="0"/>
        <w:snapToGrid w:val="0"/>
        <w:ind w:firstLine="480"/>
        <w:rPr>
          <w:rFonts w:cs="宋体"/>
          <w:sz w:val="24"/>
        </w:rPr>
      </w:pPr>
      <w:r>
        <w:rPr>
          <w:rFonts w:hint="eastAsia" w:cs="宋体"/>
          <w:sz w:val="24"/>
        </w:rPr>
        <w:t>本基金以目标ETF基金份额、标的指数成份股及备选成份股为主要投资对象，且本基金并非主要投资于非流动性受限资产的股票、债券及不存在活跃市场需要采用估值技术确定公允价值的投资品种，因此本基金投资组合资产变现能力较强。但是</w:t>
      </w:r>
      <w:r>
        <w:rPr>
          <w:rFonts w:hint="eastAsia"/>
          <w:sz w:val="24"/>
        </w:rPr>
        <w:t>本基金投资于上述资产时，仍存在以下流动性风险：一是基金管理人建仓或进行组合调整时，可能由于特定投资标的的流动性相对不足而无法按预期的价格将目标ETF、股票或债券买进或卖出；二是为应对投资者的赎回，基金被迫以不适当的价格卖出目标ETF基金份额、股票或债券；三是</w:t>
      </w:r>
      <w:r>
        <w:rPr>
          <w:rFonts w:hint="eastAsia" w:cs="宋体"/>
          <w:sz w:val="24"/>
        </w:rPr>
        <w:t>在目标ETF暂停基金资产估值，导致基金管理人无法计算当日基金资产净值；或者目标ETF暂停赎回、暂停上市或二级市场交易停牌或延缓支付赎回对价，基金管理人认为有必要暂停本基金赎回的情形下，基金管理人可暂停接受投资人的赎回申请或延缓支付赎回款项，投资人可能面临资产的流动性风险。</w:t>
      </w:r>
    </w:p>
    <w:p>
      <w:pPr>
        <w:pStyle w:val="21"/>
        <w:adjustRightInd w:val="0"/>
        <w:snapToGrid w:val="0"/>
        <w:ind w:firstLine="480"/>
        <w:rPr>
          <w:rFonts w:cs="宋体"/>
          <w:sz w:val="24"/>
        </w:rPr>
      </w:pPr>
      <w:r>
        <w:rPr>
          <w:rFonts w:hint="eastAsia" w:cs="宋体"/>
          <w:sz w:val="24"/>
        </w:rPr>
        <w:t>3、巨额赎回情形下的流动性风险管理措施</w:t>
      </w:r>
    </w:p>
    <w:p>
      <w:pPr>
        <w:pStyle w:val="21"/>
        <w:adjustRightInd w:val="0"/>
        <w:snapToGrid w:val="0"/>
        <w:ind w:firstLine="480"/>
        <w:rPr>
          <w:rFonts w:cs="宋体"/>
          <w:sz w:val="24"/>
        </w:rPr>
      </w:pPr>
      <w:r>
        <w:rPr>
          <w:rFonts w:hint="eastAsia" w:cs="宋体"/>
          <w:sz w:val="24"/>
        </w:rPr>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可以对其采取延期办理赎回申请的措施。详见《招募说明书》“第八部分  基金份额的申购与赎回”中“十二、巨额赎回的情形及处理方式”部分内容。</w:t>
      </w:r>
    </w:p>
    <w:p>
      <w:pPr>
        <w:pStyle w:val="21"/>
        <w:adjustRightInd w:val="0"/>
        <w:snapToGrid w:val="0"/>
        <w:ind w:firstLine="480"/>
        <w:rPr>
          <w:rFonts w:cs="宋体"/>
          <w:bCs/>
          <w:sz w:val="24"/>
        </w:rPr>
      </w:pPr>
      <w:r>
        <w:rPr>
          <w:rFonts w:hint="eastAsia" w:cs="宋体"/>
          <w:sz w:val="24"/>
        </w:rPr>
        <w:t>4、</w:t>
      </w:r>
      <w:r>
        <w:rPr>
          <w:rFonts w:hint="eastAsia" w:cs="宋体"/>
          <w:bCs/>
          <w:sz w:val="24"/>
        </w:rPr>
        <w:t>实施备用的流动性风险管理工具的情形、程序及对投资者的潜在影响</w:t>
      </w:r>
    </w:p>
    <w:p>
      <w:pPr>
        <w:pStyle w:val="21"/>
        <w:adjustRightInd w:val="0"/>
        <w:snapToGrid w:val="0"/>
        <w:ind w:firstLine="480"/>
        <w:rPr>
          <w:rFonts w:cs="宋体"/>
          <w:bCs/>
          <w:sz w:val="24"/>
        </w:rPr>
      </w:pPr>
      <w:r>
        <w:rPr>
          <w:rFonts w:hint="eastAsia" w:cs="宋体"/>
          <w:bCs/>
          <w:sz w:val="24"/>
        </w:rPr>
        <w:t>（1）延期办理赎回申请</w:t>
      </w:r>
    </w:p>
    <w:p>
      <w:pPr>
        <w:pStyle w:val="21"/>
        <w:adjustRightInd w:val="0"/>
        <w:snapToGrid w:val="0"/>
        <w:ind w:firstLine="480"/>
        <w:rPr>
          <w:rFonts w:cs="宋体"/>
          <w:bCs/>
          <w:sz w:val="24"/>
        </w:rPr>
      </w:pPr>
      <w:r>
        <w:rPr>
          <w:rFonts w:hint="eastAsia" w:cs="宋体"/>
          <w:bCs/>
          <w:sz w:val="24"/>
        </w:rPr>
        <w:t>具体请参见基金合同“第六部分  基金份额的申购与赎回”中的“九、巨额赎回的情形及处理方式”，详细了解本基金延期办理巨额赎回申请的情形及程序。在此情形下，投资人的部分或全部赎回申请可能被拒绝，基金投资人可能面临赎回效率降低的风险，同时投资人完成基金赎回时的基金份额净值可能与其提交赎回申请时的基金份额净值不同。</w:t>
      </w:r>
    </w:p>
    <w:p>
      <w:pPr>
        <w:pStyle w:val="21"/>
        <w:adjustRightInd w:val="0"/>
        <w:snapToGrid w:val="0"/>
        <w:ind w:firstLine="480"/>
        <w:rPr>
          <w:rFonts w:cs="宋体"/>
          <w:bCs/>
          <w:sz w:val="24"/>
        </w:rPr>
      </w:pPr>
      <w:r>
        <w:rPr>
          <w:rFonts w:hint="eastAsia" w:cs="宋体"/>
          <w:bCs/>
          <w:sz w:val="24"/>
        </w:rPr>
        <w:t>（2）暂停接受赎回申请</w:t>
      </w:r>
    </w:p>
    <w:p>
      <w:pPr>
        <w:pStyle w:val="21"/>
        <w:adjustRightInd w:val="0"/>
        <w:snapToGrid w:val="0"/>
        <w:ind w:firstLine="480"/>
        <w:rPr>
          <w:rFonts w:cs="宋体"/>
          <w:bCs/>
          <w:sz w:val="24"/>
        </w:rPr>
      </w:pPr>
      <w:r>
        <w:rPr>
          <w:rFonts w:hint="eastAsia" w:cs="宋体"/>
          <w:bCs/>
          <w:sz w:val="24"/>
        </w:rPr>
        <w:t>具体请参见基金合同“第六部分  基金份额的申购与赎回”中的“八、暂停赎回或延缓支付赎回款项的情形及处理方式”，详细了解本基金暂停接受赎回申请的情形及程序。在此情形下，基金投资人可能会面临赎回效率降低的风险。</w:t>
      </w:r>
    </w:p>
    <w:p>
      <w:pPr>
        <w:pStyle w:val="21"/>
        <w:adjustRightInd w:val="0"/>
        <w:snapToGrid w:val="0"/>
        <w:ind w:firstLine="480"/>
        <w:rPr>
          <w:rFonts w:cs="宋体"/>
          <w:bCs/>
          <w:sz w:val="24"/>
        </w:rPr>
      </w:pPr>
      <w:r>
        <w:rPr>
          <w:rFonts w:hint="eastAsia" w:cs="宋体"/>
          <w:bCs/>
          <w:sz w:val="24"/>
        </w:rPr>
        <w:t>（3）延缓支付赎回款项</w:t>
      </w:r>
    </w:p>
    <w:p>
      <w:pPr>
        <w:pStyle w:val="21"/>
        <w:adjustRightInd w:val="0"/>
        <w:snapToGrid w:val="0"/>
        <w:ind w:firstLine="480"/>
        <w:rPr>
          <w:rFonts w:cs="宋体"/>
          <w:bCs/>
          <w:sz w:val="24"/>
        </w:rPr>
      </w:pPr>
      <w:r>
        <w:rPr>
          <w:rFonts w:hint="eastAsia" w:cs="宋体"/>
          <w:bCs/>
          <w:sz w:val="24"/>
        </w:rPr>
        <w:t>具体请参见基金合同“第六部分  基金份额的申购与赎回”中的“八、暂停赎回或延缓支付赎回款项的情形及处理方式”和“九、巨额赎回的情形及处理方式”，详细了解本基金延缓支付赎回款项的情形及程序。在此情形下，投资人接收赎回款项的时间将可能比一般正常情形下有所延迟，申请赎回的基金份额持有人不能如期获得全额赎回款，除了对自身流动性产生影响外，也可能将损失延迟款项部分的再投资收益。</w:t>
      </w:r>
    </w:p>
    <w:p>
      <w:pPr>
        <w:pStyle w:val="21"/>
        <w:adjustRightInd w:val="0"/>
        <w:snapToGrid w:val="0"/>
        <w:ind w:firstLine="480"/>
        <w:rPr>
          <w:rFonts w:cs="宋体"/>
          <w:bCs/>
          <w:sz w:val="24"/>
        </w:rPr>
      </w:pPr>
      <w:r>
        <w:rPr>
          <w:rFonts w:hint="eastAsia" w:cs="宋体"/>
          <w:bCs/>
          <w:sz w:val="24"/>
        </w:rPr>
        <w:t>（4）收取短期赎回费</w:t>
      </w:r>
    </w:p>
    <w:p>
      <w:pPr>
        <w:pStyle w:val="21"/>
        <w:adjustRightInd w:val="0"/>
        <w:snapToGrid w:val="0"/>
        <w:ind w:firstLine="480"/>
        <w:rPr>
          <w:rFonts w:cs="宋体"/>
          <w:bCs/>
          <w:sz w:val="24"/>
        </w:rPr>
      </w:pPr>
      <w:r>
        <w:rPr>
          <w:rFonts w:hint="eastAsia" w:cs="宋体"/>
          <w:bCs/>
          <w:sz w:val="24"/>
        </w:rPr>
        <w:t>本基金对持续持有期少于7日的投资者收取不低于1.5%的赎回费，并将上述赎回费全额计入基金财产。持续持有期小于7日的投资者相比于其他持有期限的投资者将支付更高的赎回费。</w:t>
      </w:r>
    </w:p>
    <w:p>
      <w:pPr>
        <w:pStyle w:val="21"/>
        <w:adjustRightInd w:val="0"/>
        <w:snapToGrid w:val="0"/>
        <w:ind w:firstLine="480"/>
        <w:rPr>
          <w:rFonts w:cs="宋体"/>
          <w:bCs/>
          <w:sz w:val="24"/>
        </w:rPr>
      </w:pPr>
      <w:r>
        <w:rPr>
          <w:rFonts w:hint="eastAsia" w:cs="宋体"/>
          <w:bCs/>
          <w:sz w:val="24"/>
        </w:rPr>
        <w:t>（5）暂停基金估值</w:t>
      </w:r>
    </w:p>
    <w:p>
      <w:pPr>
        <w:pStyle w:val="21"/>
        <w:adjustRightInd w:val="0"/>
        <w:snapToGrid w:val="0"/>
        <w:ind w:firstLine="480"/>
        <w:rPr>
          <w:rFonts w:cs="宋体"/>
          <w:bCs/>
          <w:sz w:val="24"/>
        </w:rPr>
      </w:pPr>
      <w:r>
        <w:rPr>
          <w:rFonts w:hint="eastAsia" w:cs="宋体"/>
          <w:bCs/>
          <w:sz w:val="24"/>
        </w:rPr>
        <w:t>具体请参见基金合同“第十四部分  基金资产估值”中的“七、暂停估值的情形”，详细了解本基金暂停估值的情形及程序。在此情形下，投资人面临暂时无法获取基金净值信息的风险，没有可供参考的基金净值信息，同时赎回申请可能被延期办理或被暂停接受，或被延缓支付赎回款项。</w:t>
      </w:r>
    </w:p>
    <w:p>
      <w:pPr>
        <w:pStyle w:val="21"/>
        <w:adjustRightInd w:val="0"/>
        <w:snapToGrid w:val="0"/>
        <w:ind w:firstLine="480"/>
        <w:rPr>
          <w:rFonts w:cs="宋体"/>
          <w:bCs/>
          <w:sz w:val="24"/>
        </w:rPr>
      </w:pPr>
      <w:r>
        <w:rPr>
          <w:rFonts w:hint="eastAsia" w:cs="宋体"/>
          <w:bCs/>
          <w:sz w:val="24"/>
        </w:rPr>
        <w:t>（6）摆动定价</w:t>
      </w:r>
    </w:p>
    <w:p>
      <w:pPr>
        <w:pStyle w:val="21"/>
        <w:adjustRightInd w:val="0"/>
        <w:snapToGrid w:val="0"/>
        <w:ind w:firstLine="480"/>
        <w:rPr>
          <w:rFonts w:cs="宋体"/>
          <w:sz w:val="24"/>
        </w:rPr>
      </w:pPr>
      <w:r>
        <w:rPr>
          <w:rFonts w:hint="eastAsia" w:cs="宋体"/>
          <w:bCs/>
          <w:sz w:val="24"/>
        </w:rPr>
        <w:t>当本基金发生大额申购或大额赎回情形时，基金管理人可以采用摆动定价机制，即将本基金因为大额申购或赎回而需要大幅增减仓位所带来的冲击成本通过调整基金的估值和基金份额净值的方式传导给大额申购和赎回的投资者，以确保基金估值的公平性。当日参与申购和赎回交易的投资者存在承担申购或者赎回产生的交易成本及其他成本的风险</w:t>
      </w:r>
      <w:r>
        <w:rPr>
          <w:rFonts w:hint="eastAsia" w:cs="宋体"/>
          <w:sz w:val="24"/>
        </w:rPr>
        <w:t>。</w:t>
      </w:r>
    </w:p>
    <w:p>
      <w:pPr>
        <w:pStyle w:val="21"/>
        <w:adjustRightInd w:val="0"/>
        <w:snapToGrid w:val="0"/>
        <w:ind w:firstLine="480"/>
        <w:rPr>
          <w:bCs/>
          <w:sz w:val="24"/>
        </w:rPr>
      </w:pPr>
      <w:r>
        <w:rPr>
          <w:rFonts w:hint="eastAsia"/>
          <w:bCs/>
          <w:sz w:val="24"/>
        </w:rPr>
        <w:t>（7）实施侧袋机制</w:t>
      </w:r>
    </w:p>
    <w:p>
      <w:pPr>
        <w:pStyle w:val="21"/>
        <w:adjustRightInd w:val="0"/>
        <w:snapToGrid w:val="0"/>
        <w:ind w:firstLine="480"/>
        <w:rPr>
          <w:bCs/>
          <w:sz w:val="24"/>
        </w:rPr>
      </w:pPr>
      <w:r>
        <w:rPr>
          <w:rFonts w:hint="eastAsia"/>
          <w:bCs/>
          <w:sz w:val="24"/>
        </w:rPr>
        <w:t>投资人具体请参见本招募说明书“第十六部分  侧袋机制”，详细了解本基金侧袋机制的情形及程序。</w:t>
      </w:r>
    </w:p>
    <w:p>
      <w:pPr>
        <w:pStyle w:val="21"/>
        <w:adjustRightInd w:val="0"/>
        <w:snapToGrid w:val="0"/>
        <w:ind w:firstLine="480"/>
        <w:rPr>
          <w:bCs/>
          <w:sz w:val="24"/>
        </w:rPr>
      </w:pPr>
      <w:r>
        <w:rPr>
          <w:rFonts w:hint="eastAsia"/>
          <w:bCs/>
          <w:sz w:val="24"/>
        </w:rPr>
        <w:t>五、其他风险</w:t>
      </w:r>
    </w:p>
    <w:p>
      <w:pPr>
        <w:pStyle w:val="21"/>
        <w:adjustRightInd w:val="0"/>
        <w:snapToGrid w:val="0"/>
        <w:ind w:firstLine="480"/>
        <w:rPr>
          <w:bCs/>
          <w:sz w:val="24"/>
        </w:rPr>
      </w:pPr>
      <w:r>
        <w:rPr>
          <w:rFonts w:hint="eastAsia"/>
          <w:bCs/>
          <w:sz w:val="24"/>
        </w:rPr>
        <w:t>1、技术风险</w:t>
      </w:r>
    </w:p>
    <w:p>
      <w:pPr>
        <w:pStyle w:val="21"/>
        <w:adjustRightInd w:val="0"/>
        <w:snapToGrid w:val="0"/>
        <w:ind w:firstLine="480"/>
        <w:rPr>
          <w:bCs/>
          <w:sz w:val="24"/>
        </w:rPr>
      </w:pPr>
      <w:r>
        <w:rPr>
          <w:rFonts w:hint="eastAsia"/>
          <w:bCs/>
          <w:sz w:val="24"/>
        </w:rPr>
        <w:t>计算机、通讯系统、交易网络等技术保障系统或信息网络支持出现异常情况，可能导致基金的认购、申购和赎回无法按正常时限完成、登记系统瘫痪、核算系统无法按正常时限显示产生净值、基金的投资交易指令无法及时传输等风险；</w:t>
      </w:r>
    </w:p>
    <w:p>
      <w:pPr>
        <w:pStyle w:val="21"/>
        <w:adjustRightInd w:val="0"/>
        <w:snapToGrid w:val="0"/>
        <w:ind w:firstLine="480"/>
        <w:rPr>
          <w:bCs/>
          <w:sz w:val="24"/>
        </w:rPr>
      </w:pPr>
      <w:r>
        <w:rPr>
          <w:rFonts w:hint="eastAsia"/>
          <w:bCs/>
          <w:sz w:val="24"/>
        </w:rPr>
        <w:t>2、金融市场危机、行业竞争、代理机构违约、基金托管人违约等超出本基金管理人自身直接控制能力之外的风险，可能导致本基金或者基金份额持有人的利益受损；</w:t>
      </w:r>
    </w:p>
    <w:p>
      <w:pPr>
        <w:pStyle w:val="21"/>
        <w:adjustRightInd w:val="0"/>
        <w:snapToGrid w:val="0"/>
        <w:ind w:firstLine="480"/>
        <w:rPr>
          <w:bCs/>
          <w:sz w:val="24"/>
        </w:rPr>
      </w:pPr>
      <w:r>
        <w:rPr>
          <w:rFonts w:hint="eastAsia"/>
          <w:bCs/>
          <w:sz w:val="24"/>
        </w:rPr>
        <w:t>3、战争、自然灾害等不可抗力因素的出现，将会严重影响证券市场的运行，可能导致基金资产的损失；</w:t>
      </w:r>
    </w:p>
    <w:p>
      <w:pPr>
        <w:pStyle w:val="21"/>
        <w:adjustRightInd w:val="0"/>
        <w:snapToGrid w:val="0"/>
        <w:ind w:firstLine="480"/>
        <w:rPr>
          <w:bCs/>
          <w:sz w:val="24"/>
        </w:rPr>
      </w:pPr>
      <w:r>
        <w:rPr>
          <w:rFonts w:hint="eastAsia"/>
          <w:bCs/>
          <w:sz w:val="24"/>
        </w:rPr>
        <w:t>4、因人为因素而产生的风险、如内幕交易、欺诈行为等产生的风险；</w:t>
      </w:r>
    </w:p>
    <w:p>
      <w:pPr>
        <w:pStyle w:val="21"/>
        <w:adjustRightInd w:val="0"/>
        <w:snapToGrid w:val="0"/>
        <w:ind w:firstLine="480"/>
        <w:rPr>
          <w:bCs/>
          <w:sz w:val="24"/>
        </w:rPr>
      </w:pPr>
      <w:r>
        <w:rPr>
          <w:rFonts w:hint="eastAsia"/>
          <w:bCs/>
          <w:sz w:val="24"/>
        </w:rPr>
        <w:t>5、对主要业务人员如基金经理的依赖而可能产生的风险；</w:t>
      </w:r>
    </w:p>
    <w:p>
      <w:pPr>
        <w:pStyle w:val="21"/>
        <w:adjustRightInd w:val="0"/>
        <w:snapToGrid w:val="0"/>
        <w:ind w:firstLine="480"/>
        <w:rPr>
          <w:bCs/>
          <w:sz w:val="24"/>
        </w:rPr>
      </w:pPr>
      <w:r>
        <w:rPr>
          <w:rFonts w:hint="eastAsia"/>
          <w:bCs/>
          <w:sz w:val="24"/>
        </w:rPr>
        <w:t>6、本基金由基金管理人作为交易参与人通过交易单元在证券交易所进行证券交易。根据《证券交易资金前端风险控制业务规则》等有关规定，证券交易所、证券登记机构对交易参与人相关交易单元的全天净买入申报金额总量实施额度管理，并通过交易所对交易参与人实施前端控制。本基金可能因上述业务规则而无法完成某笔或某些交易，由此造成的损益由基金财产承担。</w:t>
      </w:r>
    </w:p>
    <w:p>
      <w:pPr>
        <w:pStyle w:val="21"/>
        <w:adjustRightInd w:val="0"/>
        <w:snapToGrid w:val="0"/>
        <w:ind w:firstLine="480"/>
        <w:rPr>
          <w:bCs/>
          <w:sz w:val="24"/>
        </w:rPr>
      </w:pPr>
      <w:r>
        <w:rPr>
          <w:rFonts w:hint="eastAsia"/>
          <w:bCs/>
          <w:sz w:val="24"/>
        </w:rPr>
        <w:t>7、本基金法律文件风险收益特征表述与销售机构基金风险评价可能不一致的风险</w:t>
      </w:r>
    </w:p>
    <w:p>
      <w:pPr>
        <w:pStyle w:val="21"/>
        <w:adjustRightInd w:val="0"/>
        <w:snapToGrid w:val="0"/>
        <w:ind w:firstLine="480"/>
        <w:rPr>
          <w:bCs/>
          <w:sz w:val="24"/>
        </w:rPr>
      </w:pPr>
      <w:r>
        <w:rPr>
          <w:rFonts w:hint="eastAsia"/>
          <w:bCs/>
          <w:sz w:val="24"/>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pPr>
        <w:pStyle w:val="21"/>
        <w:adjustRightInd w:val="0"/>
        <w:snapToGrid w:val="0"/>
        <w:ind w:firstLine="480"/>
        <w:rPr>
          <w:bCs/>
          <w:sz w:val="24"/>
        </w:rPr>
      </w:pPr>
      <w:r>
        <w:rPr>
          <w:bCs/>
          <w:sz w:val="24"/>
        </w:rPr>
        <w:t>8</w:t>
      </w:r>
      <w:r>
        <w:rPr>
          <w:rFonts w:hint="eastAsia"/>
          <w:bCs/>
          <w:sz w:val="24"/>
        </w:rPr>
        <w:t>、其他意外导致的风险。</w:t>
      </w:r>
    </w:p>
    <w:p>
      <w:pPr>
        <w:pStyle w:val="2"/>
        <w:adjustRightInd w:val="0"/>
        <w:snapToGrid w:val="0"/>
        <w:spacing w:before="0" w:after="0" w:line="360" w:lineRule="auto"/>
        <w:jc w:val="center"/>
        <w:rPr>
          <w:rFonts w:ascii="宋体" w:hAnsi="宋体"/>
        </w:rPr>
      </w:pPr>
      <w:r>
        <w:rPr>
          <w:rFonts w:ascii="宋体" w:hAnsi="宋体"/>
        </w:rPr>
        <w:br w:type="page"/>
      </w:r>
      <w:bookmarkStart w:id="54" w:name="_Toc103003360"/>
      <w:r>
        <w:rPr>
          <w:rFonts w:ascii="宋体" w:hAnsi="宋体"/>
        </w:rPr>
        <w:t>第</w:t>
      </w:r>
      <w:r>
        <w:rPr>
          <w:rFonts w:hint="eastAsia" w:ascii="宋体" w:hAnsi="宋体"/>
        </w:rPr>
        <w:t>十八</w:t>
      </w:r>
      <w:r>
        <w:rPr>
          <w:rFonts w:ascii="宋体" w:hAnsi="宋体"/>
        </w:rPr>
        <w:t>部分</w:t>
      </w:r>
      <w:r>
        <w:rPr>
          <w:rFonts w:hint="eastAsia" w:ascii="宋体" w:hAnsi="宋体"/>
        </w:rPr>
        <w:t xml:space="preserve">  基金合同的变更、终止与基金财产的清算</w:t>
      </w:r>
      <w:bookmarkEnd w:id="54"/>
    </w:p>
    <w:p>
      <w:pPr>
        <w:pStyle w:val="21"/>
        <w:ind w:firstLine="715" w:firstLineChars="0"/>
        <w:rPr>
          <w:sz w:val="24"/>
        </w:rPr>
      </w:pPr>
      <w:bookmarkStart w:id="55" w:name="_Toc79392639"/>
    </w:p>
    <w:p>
      <w:pPr>
        <w:pStyle w:val="21"/>
        <w:ind w:firstLine="480"/>
        <w:rPr>
          <w:bCs/>
          <w:sz w:val="24"/>
        </w:rPr>
      </w:pPr>
      <w:bookmarkStart w:id="56" w:name="_Hlk130212830"/>
      <w:r>
        <w:rPr>
          <w:rFonts w:hint="eastAsia"/>
          <w:bCs/>
          <w:sz w:val="24"/>
        </w:rPr>
        <w:t>一、基金合同的变更</w:t>
      </w:r>
    </w:p>
    <w:p>
      <w:pPr>
        <w:pStyle w:val="21"/>
        <w:ind w:firstLine="480"/>
        <w:rPr>
          <w:bCs/>
          <w:sz w:val="24"/>
        </w:rPr>
      </w:pPr>
      <w:r>
        <w:rPr>
          <w:rFonts w:hint="eastAsia"/>
          <w:bCs/>
          <w:sz w:val="24"/>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w:t>
      </w:r>
    </w:p>
    <w:p>
      <w:pPr>
        <w:pStyle w:val="21"/>
        <w:ind w:firstLine="480"/>
        <w:rPr>
          <w:bCs/>
          <w:sz w:val="24"/>
        </w:rPr>
      </w:pPr>
      <w:r>
        <w:rPr>
          <w:rFonts w:hint="eastAsia"/>
          <w:bCs/>
          <w:sz w:val="24"/>
        </w:rPr>
        <w:t>2、关于基金合同变更的基金份额持有人大会决议自生效后方可执行，自决议生效后依照《信息披露办法》的有关规定在规定媒介公告。若法律法规发生变化，则以变化后的规定为准。</w:t>
      </w:r>
    </w:p>
    <w:p>
      <w:pPr>
        <w:pStyle w:val="21"/>
        <w:ind w:firstLine="480"/>
        <w:rPr>
          <w:bCs/>
          <w:sz w:val="24"/>
        </w:rPr>
      </w:pPr>
      <w:r>
        <w:rPr>
          <w:rFonts w:hint="eastAsia"/>
          <w:bCs/>
          <w:sz w:val="24"/>
        </w:rPr>
        <w:t>二、基金合同的终止事由</w:t>
      </w:r>
    </w:p>
    <w:p>
      <w:pPr>
        <w:pStyle w:val="21"/>
        <w:ind w:firstLine="480"/>
        <w:rPr>
          <w:bCs/>
          <w:sz w:val="24"/>
        </w:rPr>
      </w:pPr>
      <w:r>
        <w:rPr>
          <w:rFonts w:hint="eastAsia"/>
          <w:bCs/>
          <w:sz w:val="24"/>
        </w:rPr>
        <w:t>有下列情形之一的，经履行相关程序后，基金合同应当终止：</w:t>
      </w:r>
    </w:p>
    <w:p>
      <w:pPr>
        <w:pStyle w:val="21"/>
        <w:ind w:firstLine="480"/>
        <w:rPr>
          <w:bCs/>
          <w:sz w:val="24"/>
        </w:rPr>
      </w:pPr>
      <w:r>
        <w:rPr>
          <w:rFonts w:hint="eastAsia"/>
          <w:bCs/>
          <w:sz w:val="24"/>
        </w:rPr>
        <w:t>1、基金份额持有人大会决定终止的；</w:t>
      </w:r>
    </w:p>
    <w:p>
      <w:pPr>
        <w:pStyle w:val="21"/>
        <w:ind w:firstLine="480"/>
        <w:rPr>
          <w:bCs/>
          <w:sz w:val="24"/>
        </w:rPr>
      </w:pPr>
      <w:r>
        <w:rPr>
          <w:rFonts w:hint="eastAsia"/>
          <w:bCs/>
          <w:sz w:val="24"/>
        </w:rPr>
        <w:t>2、基金管理人、基金托管人职责终止，在6个月内没有新基金管理人、新基金托管人承接的；</w:t>
      </w:r>
    </w:p>
    <w:p>
      <w:pPr>
        <w:pStyle w:val="21"/>
        <w:ind w:firstLine="480"/>
        <w:rPr>
          <w:bCs/>
          <w:sz w:val="24"/>
        </w:rPr>
      </w:pPr>
      <w:r>
        <w:rPr>
          <w:rFonts w:hint="eastAsia"/>
          <w:bCs/>
          <w:sz w:val="24"/>
        </w:rPr>
        <w:t>3、《基金合同》生效后连续50个工作日出现基金份额持有人数量不满200人或者基金资产净值低于5000万元情形的；</w:t>
      </w:r>
    </w:p>
    <w:p>
      <w:pPr>
        <w:pStyle w:val="21"/>
        <w:ind w:firstLine="480"/>
        <w:rPr>
          <w:bCs/>
          <w:sz w:val="24"/>
        </w:rPr>
      </w:pPr>
      <w:r>
        <w:rPr>
          <w:rFonts w:hint="eastAsia"/>
          <w:bCs/>
          <w:sz w:val="24"/>
        </w:rPr>
        <w:t>4、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pPr>
        <w:pStyle w:val="21"/>
        <w:ind w:firstLine="480"/>
        <w:rPr>
          <w:bCs/>
          <w:sz w:val="24"/>
        </w:rPr>
      </w:pPr>
      <w:r>
        <w:rPr>
          <w:rFonts w:hint="eastAsia"/>
          <w:bCs/>
          <w:sz w:val="24"/>
        </w:rPr>
        <w:t>5、基金合同约定的其他情形；</w:t>
      </w:r>
    </w:p>
    <w:p>
      <w:pPr>
        <w:pStyle w:val="21"/>
        <w:ind w:firstLine="480"/>
        <w:rPr>
          <w:bCs/>
          <w:sz w:val="24"/>
        </w:rPr>
      </w:pPr>
      <w:r>
        <w:rPr>
          <w:rFonts w:hint="eastAsia"/>
          <w:bCs/>
          <w:sz w:val="24"/>
        </w:rPr>
        <w:t>6、相关法律法规和中国证监会规定的其他情况。</w:t>
      </w:r>
    </w:p>
    <w:p>
      <w:pPr>
        <w:pStyle w:val="21"/>
        <w:ind w:firstLine="480"/>
        <w:rPr>
          <w:bCs/>
          <w:sz w:val="24"/>
        </w:rPr>
      </w:pPr>
      <w:r>
        <w:rPr>
          <w:rFonts w:hint="eastAsia"/>
          <w:bCs/>
          <w:sz w:val="24"/>
        </w:rPr>
        <w:t>三、基金财产的清算</w:t>
      </w:r>
    </w:p>
    <w:p>
      <w:pPr>
        <w:pStyle w:val="21"/>
        <w:ind w:firstLine="480"/>
        <w:rPr>
          <w:bCs/>
          <w:sz w:val="24"/>
        </w:rPr>
      </w:pPr>
      <w:r>
        <w:rPr>
          <w:rFonts w:hint="eastAsia"/>
          <w:bCs/>
          <w:sz w:val="24"/>
        </w:rPr>
        <w:t>1、基金财产清算小组：基金合同终止事由出现后，基金管理人组织基金财产清算小组并在中国证监会的监督下进行基金清算。</w:t>
      </w:r>
    </w:p>
    <w:p>
      <w:pPr>
        <w:pStyle w:val="21"/>
        <w:ind w:firstLine="480"/>
        <w:rPr>
          <w:bCs/>
          <w:sz w:val="24"/>
        </w:rPr>
      </w:pPr>
      <w:r>
        <w:rPr>
          <w:rFonts w:hint="eastAsia"/>
          <w:bCs/>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pPr>
        <w:pStyle w:val="21"/>
        <w:ind w:firstLine="480"/>
        <w:rPr>
          <w:bCs/>
          <w:sz w:val="24"/>
        </w:rPr>
      </w:pPr>
      <w:r>
        <w:rPr>
          <w:rFonts w:hint="eastAsia"/>
          <w:bCs/>
          <w:sz w:val="24"/>
        </w:rPr>
        <w:t>3、基金财产清算小组职责：基金财产清算小组负责基金财产的保管、清理、估价、变现和分配。基金财产清算小组可以依法进行必要的民事活动。</w:t>
      </w:r>
    </w:p>
    <w:p>
      <w:pPr>
        <w:pStyle w:val="21"/>
        <w:ind w:firstLine="480"/>
        <w:rPr>
          <w:bCs/>
          <w:sz w:val="24"/>
        </w:rPr>
      </w:pPr>
      <w:r>
        <w:rPr>
          <w:rFonts w:hint="eastAsia"/>
          <w:bCs/>
          <w:sz w:val="24"/>
        </w:rPr>
        <w:t>4、基金财产清算程序：</w:t>
      </w:r>
    </w:p>
    <w:p>
      <w:pPr>
        <w:pStyle w:val="21"/>
        <w:ind w:firstLine="480"/>
        <w:rPr>
          <w:bCs/>
          <w:sz w:val="24"/>
        </w:rPr>
      </w:pPr>
      <w:r>
        <w:rPr>
          <w:rFonts w:hint="eastAsia"/>
          <w:bCs/>
          <w:sz w:val="24"/>
        </w:rPr>
        <w:t>（1）基金合同终止情形出现时，由基金财产清算小组统一接管基金；</w:t>
      </w:r>
    </w:p>
    <w:p>
      <w:pPr>
        <w:pStyle w:val="21"/>
        <w:ind w:firstLine="480"/>
        <w:rPr>
          <w:bCs/>
          <w:sz w:val="24"/>
        </w:rPr>
      </w:pPr>
      <w:r>
        <w:rPr>
          <w:rFonts w:hint="eastAsia"/>
          <w:bCs/>
          <w:sz w:val="24"/>
        </w:rPr>
        <w:t>（2）对基金财产和债权债务进行清理和确认；</w:t>
      </w:r>
    </w:p>
    <w:p>
      <w:pPr>
        <w:pStyle w:val="21"/>
        <w:ind w:firstLine="480"/>
        <w:rPr>
          <w:bCs/>
          <w:sz w:val="24"/>
        </w:rPr>
      </w:pPr>
      <w:r>
        <w:rPr>
          <w:rFonts w:hint="eastAsia"/>
          <w:bCs/>
          <w:sz w:val="24"/>
        </w:rPr>
        <w:t>（3）对基金财产进行估值和变现；</w:t>
      </w:r>
    </w:p>
    <w:p>
      <w:pPr>
        <w:pStyle w:val="21"/>
        <w:ind w:firstLine="480"/>
        <w:rPr>
          <w:bCs/>
          <w:sz w:val="24"/>
        </w:rPr>
      </w:pPr>
      <w:r>
        <w:rPr>
          <w:rFonts w:hint="eastAsia"/>
          <w:bCs/>
          <w:sz w:val="24"/>
        </w:rPr>
        <w:t>（4）制作清算报告；</w:t>
      </w:r>
    </w:p>
    <w:p>
      <w:pPr>
        <w:pStyle w:val="21"/>
        <w:ind w:firstLine="480"/>
        <w:rPr>
          <w:bCs/>
          <w:sz w:val="24"/>
        </w:rPr>
      </w:pPr>
      <w:r>
        <w:rPr>
          <w:rFonts w:hint="eastAsia"/>
          <w:bCs/>
          <w:sz w:val="24"/>
        </w:rPr>
        <w:t>（5）聘请会计师事务所对清算报告进行外部审计，聘请律师事务所对清算报告出具法律意见书；</w:t>
      </w:r>
    </w:p>
    <w:p>
      <w:pPr>
        <w:pStyle w:val="21"/>
        <w:ind w:firstLine="480"/>
        <w:rPr>
          <w:bCs/>
          <w:sz w:val="24"/>
        </w:rPr>
      </w:pPr>
      <w:r>
        <w:rPr>
          <w:rFonts w:hint="eastAsia"/>
          <w:bCs/>
          <w:sz w:val="24"/>
        </w:rPr>
        <w:t>（6）将清算报告报中国证监会备案并公告；</w:t>
      </w:r>
    </w:p>
    <w:p>
      <w:pPr>
        <w:pStyle w:val="21"/>
        <w:ind w:firstLine="480"/>
        <w:rPr>
          <w:bCs/>
          <w:sz w:val="24"/>
        </w:rPr>
      </w:pPr>
      <w:r>
        <w:rPr>
          <w:rFonts w:hint="eastAsia"/>
          <w:bCs/>
          <w:sz w:val="24"/>
        </w:rPr>
        <w:t>（7）对基金剩余财产进行分配。</w:t>
      </w:r>
    </w:p>
    <w:p>
      <w:pPr>
        <w:pStyle w:val="21"/>
        <w:ind w:firstLine="480"/>
        <w:rPr>
          <w:bCs/>
          <w:sz w:val="24"/>
        </w:rPr>
      </w:pPr>
      <w:r>
        <w:rPr>
          <w:rFonts w:hint="eastAsia"/>
          <w:bCs/>
          <w:sz w:val="24"/>
        </w:rPr>
        <w:t>5、基金财产清算的期限为6个月，但因本基金所持证券的流动性受到限制而不能及时变现的，清算期限相应顺延。</w:t>
      </w:r>
    </w:p>
    <w:p>
      <w:pPr>
        <w:pStyle w:val="21"/>
        <w:ind w:firstLine="480"/>
        <w:rPr>
          <w:bCs/>
          <w:sz w:val="24"/>
        </w:rPr>
      </w:pPr>
      <w:r>
        <w:rPr>
          <w:rFonts w:hint="eastAsia"/>
          <w:bCs/>
          <w:sz w:val="24"/>
        </w:rPr>
        <w:t>四、清算费用</w:t>
      </w:r>
    </w:p>
    <w:p>
      <w:pPr>
        <w:pStyle w:val="21"/>
        <w:ind w:firstLine="480"/>
        <w:rPr>
          <w:bCs/>
          <w:sz w:val="24"/>
        </w:rPr>
      </w:pPr>
      <w:r>
        <w:rPr>
          <w:rFonts w:hint="eastAsia"/>
          <w:bCs/>
          <w:sz w:val="24"/>
        </w:rPr>
        <w:t>清算费用是指基金财产清算小组在进行基金清算过程中发生的所有合理费用，清算费用由基金财产清算小组优先从基金剩余财产中支付。</w:t>
      </w:r>
    </w:p>
    <w:p>
      <w:pPr>
        <w:pStyle w:val="21"/>
        <w:ind w:firstLine="480"/>
        <w:rPr>
          <w:bCs/>
          <w:sz w:val="24"/>
        </w:rPr>
      </w:pPr>
      <w:r>
        <w:rPr>
          <w:rFonts w:hint="eastAsia"/>
          <w:bCs/>
          <w:sz w:val="24"/>
        </w:rPr>
        <w:t>五、基金财产清算剩余资产的分配</w:t>
      </w:r>
    </w:p>
    <w:p>
      <w:pPr>
        <w:pStyle w:val="21"/>
        <w:ind w:firstLine="480"/>
        <w:rPr>
          <w:bCs/>
          <w:sz w:val="24"/>
        </w:rPr>
      </w:pPr>
      <w:r>
        <w:rPr>
          <w:rFonts w:hint="eastAsia"/>
          <w:bCs/>
          <w:sz w:val="24"/>
        </w:rPr>
        <w:t>依据基金财产清算的分配方案，将基金财产清算后的全部剩余资产扣除基金财产清算费用、交纳所欠税款并清偿基金债务后，按基金份额持有人持有的各类基金份额比例进行分配。</w:t>
      </w:r>
    </w:p>
    <w:p>
      <w:pPr>
        <w:pStyle w:val="21"/>
        <w:ind w:firstLine="480"/>
        <w:rPr>
          <w:bCs/>
          <w:sz w:val="24"/>
        </w:rPr>
      </w:pPr>
      <w:r>
        <w:rPr>
          <w:rFonts w:hint="eastAsia"/>
          <w:bCs/>
          <w:sz w:val="24"/>
        </w:rPr>
        <w:t>六、基金财产清算的公告</w:t>
      </w:r>
    </w:p>
    <w:p>
      <w:pPr>
        <w:pStyle w:val="21"/>
        <w:ind w:firstLine="480"/>
        <w:rPr>
          <w:bCs/>
          <w:sz w:val="24"/>
        </w:rPr>
      </w:pPr>
      <w:r>
        <w:rPr>
          <w:rFonts w:hint="eastAsia"/>
          <w:bCs/>
          <w:sz w:val="24"/>
        </w:rPr>
        <w:t>清算过程中的有关重大事项须及时公告；基金财产清算报告经符合《中华人民共和国证券法》规定的会计师事务所审计，律师事务所出具法律意见书后，由基金财产清算小组报中国证监会备案并公告，基金财产清算小组应当将清算报告登载在规定网站上，并将清算报告提示性公告登载在规定报刊上。</w:t>
      </w:r>
    </w:p>
    <w:p>
      <w:pPr>
        <w:pStyle w:val="21"/>
        <w:ind w:firstLine="480"/>
        <w:rPr>
          <w:bCs/>
          <w:sz w:val="24"/>
        </w:rPr>
      </w:pPr>
      <w:r>
        <w:rPr>
          <w:rFonts w:hint="eastAsia"/>
          <w:bCs/>
          <w:sz w:val="24"/>
        </w:rPr>
        <w:t>七、基金财产清算账册及文件的保存</w:t>
      </w:r>
    </w:p>
    <w:p>
      <w:pPr>
        <w:pStyle w:val="21"/>
        <w:ind w:firstLine="480"/>
        <w:rPr>
          <w:bCs/>
          <w:sz w:val="24"/>
        </w:rPr>
      </w:pPr>
      <w:r>
        <w:rPr>
          <w:rFonts w:hint="eastAsia"/>
          <w:bCs/>
          <w:sz w:val="24"/>
        </w:rPr>
        <w:t>基金财产清算账册及有关文件由基金托管人保存，保存期限不少于法律法规的规定。</w:t>
      </w:r>
    </w:p>
    <w:bookmarkEnd w:id="55"/>
    <w:p>
      <w:pPr>
        <w:pStyle w:val="2"/>
        <w:adjustRightInd w:val="0"/>
        <w:snapToGrid w:val="0"/>
        <w:spacing w:before="0" w:after="0" w:line="360" w:lineRule="auto"/>
        <w:jc w:val="center"/>
        <w:rPr>
          <w:rFonts w:ascii="宋体" w:hAnsi="宋体"/>
        </w:rPr>
      </w:pPr>
      <w:r>
        <w:rPr>
          <w:rFonts w:ascii="宋体" w:hAnsi="宋体"/>
        </w:rPr>
        <w:br w:type="page"/>
      </w:r>
      <w:bookmarkEnd w:id="56"/>
      <w:bookmarkStart w:id="57" w:name="_Toc103003361"/>
      <w:r>
        <w:rPr>
          <w:rFonts w:ascii="宋体" w:hAnsi="宋体"/>
        </w:rPr>
        <w:t>第</w:t>
      </w:r>
      <w:r>
        <w:rPr>
          <w:rFonts w:hint="eastAsia" w:ascii="宋体" w:hAnsi="宋体"/>
        </w:rPr>
        <w:t>十九</w:t>
      </w:r>
      <w:r>
        <w:rPr>
          <w:rFonts w:ascii="宋体" w:hAnsi="宋体"/>
        </w:rPr>
        <w:t>部分</w:t>
      </w:r>
      <w:r>
        <w:rPr>
          <w:rFonts w:hint="eastAsia" w:ascii="宋体" w:hAnsi="宋体"/>
        </w:rPr>
        <w:t xml:space="preserve">  基金合同的内容摘要</w:t>
      </w:r>
      <w:bookmarkEnd w:id="57"/>
    </w:p>
    <w:p>
      <w:pPr>
        <w:pStyle w:val="21"/>
        <w:ind w:firstLine="480" w:firstLineChars="0"/>
        <w:rPr>
          <w:sz w:val="24"/>
        </w:rPr>
      </w:pPr>
    </w:p>
    <w:p>
      <w:pPr>
        <w:pStyle w:val="21"/>
        <w:adjustRightInd w:val="0"/>
        <w:snapToGrid w:val="0"/>
        <w:ind w:firstLine="480"/>
        <w:rPr>
          <w:rFonts w:cs="宋体"/>
          <w:bCs/>
          <w:sz w:val="24"/>
        </w:rPr>
      </w:pPr>
      <w:r>
        <w:rPr>
          <w:rFonts w:hint="eastAsia" w:cs="宋体"/>
          <w:bCs/>
          <w:sz w:val="24"/>
        </w:rPr>
        <w:t>一、基金份额持有人、基金管理人和基金托管人的权利、义务</w:t>
      </w:r>
    </w:p>
    <w:p>
      <w:pPr>
        <w:pStyle w:val="21"/>
        <w:adjustRightInd w:val="0"/>
        <w:snapToGrid w:val="0"/>
        <w:ind w:firstLine="480"/>
        <w:rPr>
          <w:rFonts w:cs="宋体"/>
          <w:bCs/>
          <w:sz w:val="24"/>
        </w:rPr>
      </w:pPr>
      <w:r>
        <w:rPr>
          <w:rFonts w:hint="eastAsia" w:cs="宋体"/>
          <w:bCs/>
          <w:sz w:val="24"/>
        </w:rPr>
        <w:t>（一）基金管理人的权利与义务</w:t>
      </w:r>
    </w:p>
    <w:p>
      <w:pPr>
        <w:pStyle w:val="21"/>
        <w:adjustRightInd w:val="0"/>
        <w:snapToGrid w:val="0"/>
        <w:ind w:firstLine="480"/>
        <w:rPr>
          <w:rFonts w:cs="宋体"/>
          <w:bCs/>
          <w:sz w:val="24"/>
        </w:rPr>
      </w:pPr>
      <w:r>
        <w:rPr>
          <w:rFonts w:hint="eastAsia" w:cs="宋体"/>
          <w:bCs/>
          <w:sz w:val="24"/>
        </w:rPr>
        <w:t>1、根据《基金法》、《运作办法》及其他有关规定，基金管理人的权利包括但不限于：</w:t>
      </w:r>
    </w:p>
    <w:p>
      <w:pPr>
        <w:pStyle w:val="21"/>
        <w:adjustRightInd w:val="0"/>
        <w:snapToGrid w:val="0"/>
        <w:ind w:firstLine="480"/>
        <w:rPr>
          <w:rFonts w:cs="宋体"/>
          <w:bCs/>
          <w:sz w:val="24"/>
        </w:rPr>
      </w:pPr>
      <w:r>
        <w:rPr>
          <w:rFonts w:hint="eastAsia" w:cs="宋体"/>
          <w:bCs/>
          <w:sz w:val="24"/>
        </w:rPr>
        <w:t>（1）依法募集资金；</w:t>
      </w:r>
    </w:p>
    <w:p>
      <w:pPr>
        <w:pStyle w:val="21"/>
        <w:adjustRightInd w:val="0"/>
        <w:snapToGrid w:val="0"/>
        <w:ind w:firstLine="480"/>
        <w:rPr>
          <w:rFonts w:cs="宋体"/>
          <w:bCs/>
          <w:sz w:val="24"/>
        </w:rPr>
      </w:pPr>
      <w:r>
        <w:rPr>
          <w:rFonts w:hint="eastAsia" w:cs="宋体"/>
          <w:bCs/>
          <w:sz w:val="24"/>
        </w:rPr>
        <w:t>（2）自基金合同生效之日起，根据法律法规和基金合同独立运用并管理基金财产；</w:t>
      </w:r>
    </w:p>
    <w:p>
      <w:pPr>
        <w:pStyle w:val="21"/>
        <w:adjustRightInd w:val="0"/>
        <w:snapToGrid w:val="0"/>
        <w:ind w:firstLine="480"/>
        <w:rPr>
          <w:rFonts w:cs="宋体"/>
          <w:bCs/>
          <w:sz w:val="24"/>
        </w:rPr>
      </w:pPr>
      <w:r>
        <w:rPr>
          <w:rFonts w:hint="eastAsia" w:cs="宋体"/>
          <w:bCs/>
          <w:sz w:val="24"/>
        </w:rPr>
        <w:t>（3）依照基金合同收取基金管理费以及法律法规规定或中国证监会批准的其他费用；</w:t>
      </w:r>
    </w:p>
    <w:p>
      <w:pPr>
        <w:pStyle w:val="21"/>
        <w:adjustRightInd w:val="0"/>
        <w:snapToGrid w:val="0"/>
        <w:ind w:firstLine="480"/>
        <w:rPr>
          <w:rFonts w:cs="宋体"/>
          <w:bCs/>
          <w:sz w:val="24"/>
        </w:rPr>
      </w:pPr>
      <w:r>
        <w:rPr>
          <w:rFonts w:hint="eastAsia" w:cs="宋体"/>
          <w:bCs/>
          <w:sz w:val="24"/>
        </w:rPr>
        <w:t>（4）销售基金份额；</w:t>
      </w:r>
    </w:p>
    <w:p>
      <w:pPr>
        <w:pStyle w:val="21"/>
        <w:adjustRightInd w:val="0"/>
        <w:snapToGrid w:val="0"/>
        <w:ind w:firstLine="480"/>
        <w:rPr>
          <w:rFonts w:cs="宋体"/>
          <w:bCs/>
          <w:sz w:val="24"/>
        </w:rPr>
      </w:pPr>
      <w:r>
        <w:rPr>
          <w:rFonts w:hint="eastAsia" w:cs="宋体"/>
          <w:bCs/>
          <w:sz w:val="24"/>
        </w:rPr>
        <w:t>（5）按照规定召集基金份额持有人大会；</w:t>
      </w:r>
    </w:p>
    <w:p>
      <w:pPr>
        <w:pStyle w:val="21"/>
        <w:adjustRightInd w:val="0"/>
        <w:snapToGrid w:val="0"/>
        <w:ind w:firstLine="480"/>
        <w:rPr>
          <w:rFonts w:cs="宋体"/>
          <w:bCs/>
          <w:sz w:val="24"/>
        </w:rPr>
      </w:pPr>
      <w:r>
        <w:rPr>
          <w:rFonts w:hint="eastAsia" w:cs="宋体"/>
          <w:bCs/>
          <w:sz w:val="24"/>
        </w:rPr>
        <w:t>（6）依据基金合同及有关法律规定监督基金托管人，如认为基金托管人违反了基金合同及国家有关法律规定，应呈报中国证监会和其他监管部门，并采取必要措施保护基金投资人的利益；</w:t>
      </w:r>
    </w:p>
    <w:p>
      <w:pPr>
        <w:pStyle w:val="21"/>
        <w:adjustRightInd w:val="0"/>
        <w:snapToGrid w:val="0"/>
        <w:ind w:firstLine="480"/>
        <w:rPr>
          <w:rFonts w:cs="宋体"/>
          <w:bCs/>
          <w:sz w:val="24"/>
        </w:rPr>
      </w:pPr>
      <w:r>
        <w:rPr>
          <w:rFonts w:hint="eastAsia" w:cs="宋体"/>
          <w:bCs/>
          <w:sz w:val="24"/>
        </w:rPr>
        <w:t>（7）在基金托管人更换时，提名新的基金托管人；</w:t>
      </w:r>
    </w:p>
    <w:p>
      <w:pPr>
        <w:pStyle w:val="21"/>
        <w:adjustRightInd w:val="0"/>
        <w:snapToGrid w:val="0"/>
        <w:ind w:firstLine="480"/>
        <w:rPr>
          <w:rFonts w:cs="宋体"/>
          <w:bCs/>
          <w:sz w:val="24"/>
        </w:rPr>
      </w:pPr>
      <w:r>
        <w:rPr>
          <w:rFonts w:hint="eastAsia" w:cs="宋体"/>
          <w:bCs/>
          <w:sz w:val="24"/>
        </w:rPr>
        <w:t>（8）选择、更换基金销售机构，对基金销售机构的相关行为进行监督和处理；</w:t>
      </w:r>
    </w:p>
    <w:p>
      <w:pPr>
        <w:pStyle w:val="21"/>
        <w:adjustRightInd w:val="0"/>
        <w:snapToGrid w:val="0"/>
        <w:ind w:firstLine="480"/>
        <w:rPr>
          <w:rFonts w:cs="宋体"/>
          <w:bCs/>
          <w:sz w:val="24"/>
        </w:rPr>
      </w:pPr>
      <w:r>
        <w:rPr>
          <w:rFonts w:hint="eastAsia" w:cs="宋体"/>
          <w:bCs/>
          <w:sz w:val="24"/>
        </w:rPr>
        <w:t>（9）担任或委托其他符合条件的机构担任基金登记机构办理基金登记业务并获得基金合同规定的费用；</w:t>
      </w:r>
    </w:p>
    <w:p>
      <w:pPr>
        <w:pStyle w:val="21"/>
        <w:adjustRightInd w:val="0"/>
        <w:snapToGrid w:val="0"/>
        <w:ind w:firstLine="480"/>
        <w:rPr>
          <w:rFonts w:cs="宋体"/>
          <w:bCs/>
          <w:sz w:val="24"/>
        </w:rPr>
      </w:pPr>
      <w:r>
        <w:rPr>
          <w:rFonts w:hint="eastAsia" w:cs="宋体"/>
          <w:bCs/>
          <w:sz w:val="24"/>
        </w:rPr>
        <w:t>（10）依据基金合同及有关法律规定决定基金收益的分配方案；</w:t>
      </w:r>
    </w:p>
    <w:p>
      <w:pPr>
        <w:pStyle w:val="21"/>
        <w:adjustRightInd w:val="0"/>
        <w:snapToGrid w:val="0"/>
        <w:ind w:firstLine="480"/>
        <w:rPr>
          <w:rFonts w:cs="宋体"/>
          <w:bCs/>
          <w:sz w:val="24"/>
        </w:rPr>
      </w:pPr>
      <w:r>
        <w:rPr>
          <w:rFonts w:hint="eastAsia" w:cs="宋体"/>
          <w:bCs/>
          <w:sz w:val="24"/>
        </w:rPr>
        <w:t>（11）在基金合同约定的范围内，拒绝或暂停受理申购、赎回和转换申请；</w:t>
      </w:r>
    </w:p>
    <w:p>
      <w:pPr>
        <w:pStyle w:val="21"/>
        <w:adjustRightInd w:val="0"/>
        <w:snapToGrid w:val="0"/>
        <w:ind w:firstLine="480"/>
        <w:rPr>
          <w:rFonts w:cs="宋体"/>
          <w:bCs/>
          <w:sz w:val="24"/>
        </w:rPr>
      </w:pPr>
      <w:r>
        <w:rPr>
          <w:rFonts w:hint="eastAsia" w:cs="宋体"/>
          <w:bCs/>
          <w:sz w:val="24"/>
        </w:rPr>
        <w:t>（12）依照法律法规为基金的利益对被投资公司行使股东权利，为基金的利益行使因基金财产投资于证券/期货所产生的权利；</w:t>
      </w:r>
    </w:p>
    <w:p>
      <w:pPr>
        <w:pStyle w:val="21"/>
        <w:adjustRightInd w:val="0"/>
        <w:snapToGrid w:val="0"/>
        <w:ind w:firstLine="480"/>
        <w:rPr>
          <w:rFonts w:cs="宋体"/>
          <w:bCs/>
          <w:sz w:val="24"/>
        </w:rPr>
      </w:pPr>
      <w:r>
        <w:rPr>
          <w:rFonts w:hint="eastAsia" w:cs="宋体"/>
          <w:bCs/>
          <w:sz w:val="24"/>
        </w:rPr>
        <w:t>（13）在法律法规允许的前提下，为基金的利益依法为基金进行融资及转融通证券出借业务；</w:t>
      </w:r>
    </w:p>
    <w:p>
      <w:pPr>
        <w:pStyle w:val="21"/>
        <w:adjustRightInd w:val="0"/>
        <w:snapToGrid w:val="0"/>
        <w:ind w:firstLine="480"/>
        <w:rPr>
          <w:rFonts w:cs="宋体"/>
          <w:bCs/>
          <w:sz w:val="24"/>
        </w:rPr>
      </w:pPr>
      <w:r>
        <w:rPr>
          <w:rFonts w:hint="eastAsia" w:cs="宋体"/>
          <w:bCs/>
          <w:sz w:val="24"/>
        </w:rPr>
        <w:t>（14）以基金管理人的名义，代表基金份额持有人的利益行使诉讼权利或者实施其他法律行为；</w:t>
      </w:r>
    </w:p>
    <w:p>
      <w:pPr>
        <w:pStyle w:val="21"/>
        <w:adjustRightInd w:val="0"/>
        <w:snapToGrid w:val="0"/>
        <w:ind w:firstLine="480"/>
        <w:rPr>
          <w:rFonts w:cs="宋体"/>
          <w:bCs/>
          <w:sz w:val="24"/>
        </w:rPr>
      </w:pPr>
      <w:r>
        <w:rPr>
          <w:rFonts w:hint="eastAsia" w:cs="宋体"/>
          <w:bCs/>
          <w:sz w:val="24"/>
        </w:rPr>
        <w:t>（15）选择、更换律师事务所、会计师事务所、证券、期货经纪商或其他为基金提供服务的外部机构；</w:t>
      </w:r>
    </w:p>
    <w:p>
      <w:pPr>
        <w:pStyle w:val="21"/>
        <w:adjustRightInd w:val="0"/>
        <w:snapToGrid w:val="0"/>
        <w:ind w:firstLine="480"/>
        <w:rPr>
          <w:rFonts w:cs="宋体"/>
          <w:bCs/>
          <w:sz w:val="24"/>
        </w:rPr>
      </w:pPr>
      <w:r>
        <w:rPr>
          <w:rFonts w:hint="eastAsia" w:cs="宋体"/>
          <w:bCs/>
          <w:sz w:val="24"/>
        </w:rPr>
        <w:t>（16）在符合有关法律、法规的前提下，制订和调整有关基金认购、申购、赎回、转换、非交易过户、转托管等业务规则；</w:t>
      </w:r>
    </w:p>
    <w:p>
      <w:pPr>
        <w:pStyle w:val="21"/>
        <w:adjustRightInd w:val="0"/>
        <w:snapToGrid w:val="0"/>
        <w:ind w:firstLine="480"/>
        <w:rPr>
          <w:rFonts w:cs="宋体"/>
          <w:bCs/>
          <w:sz w:val="24"/>
        </w:rPr>
      </w:pPr>
      <w:r>
        <w:rPr>
          <w:rFonts w:hint="eastAsia" w:cs="宋体"/>
          <w:bCs/>
          <w:sz w:val="24"/>
        </w:rPr>
        <w:t>（17）基金管理人有权根据反洗钱法律法规的相关规定，结合基金份额持有人洗钱风险状况，采取相应合理的控制措施；</w:t>
      </w:r>
    </w:p>
    <w:p>
      <w:pPr>
        <w:pStyle w:val="21"/>
        <w:adjustRightInd w:val="0"/>
        <w:snapToGrid w:val="0"/>
        <w:ind w:firstLine="480"/>
        <w:rPr>
          <w:rFonts w:cs="宋体"/>
          <w:bCs/>
          <w:sz w:val="24"/>
        </w:rPr>
      </w:pPr>
      <w:r>
        <w:rPr>
          <w:rFonts w:hint="eastAsia" w:cs="宋体"/>
          <w:bCs/>
          <w:sz w:val="24"/>
        </w:rPr>
        <w:t>（18）在法律法规和基金合同规定的范围内决定调整基金费率结构和收费方式；</w:t>
      </w:r>
    </w:p>
    <w:p>
      <w:pPr>
        <w:pStyle w:val="21"/>
        <w:adjustRightInd w:val="0"/>
        <w:snapToGrid w:val="0"/>
        <w:ind w:firstLine="480"/>
        <w:rPr>
          <w:rFonts w:cs="宋体"/>
          <w:bCs/>
          <w:sz w:val="24"/>
        </w:rPr>
      </w:pPr>
      <w:r>
        <w:rPr>
          <w:rFonts w:hint="eastAsia" w:cs="宋体"/>
          <w:bCs/>
          <w:sz w:val="24"/>
        </w:rPr>
        <w:t>（19）代表基金份额持有人的利益行使因基金财产投资于目标ETF所产生的权利，基金合同另有约定的除外；</w:t>
      </w:r>
    </w:p>
    <w:p>
      <w:pPr>
        <w:pStyle w:val="21"/>
        <w:adjustRightInd w:val="0"/>
        <w:snapToGrid w:val="0"/>
        <w:ind w:firstLine="480"/>
        <w:rPr>
          <w:rFonts w:cs="宋体"/>
          <w:bCs/>
          <w:sz w:val="24"/>
        </w:rPr>
      </w:pPr>
      <w:r>
        <w:rPr>
          <w:rFonts w:hint="eastAsia" w:cs="宋体"/>
          <w:bCs/>
          <w:sz w:val="24"/>
        </w:rPr>
        <w:t>（20）法律法规及中国证监会规定的和基金合同约定的其他权利。</w:t>
      </w:r>
    </w:p>
    <w:p>
      <w:pPr>
        <w:pStyle w:val="21"/>
        <w:adjustRightInd w:val="0"/>
        <w:snapToGrid w:val="0"/>
        <w:ind w:firstLine="480"/>
        <w:rPr>
          <w:rFonts w:cs="宋体"/>
          <w:bCs/>
          <w:sz w:val="24"/>
        </w:rPr>
      </w:pPr>
      <w:r>
        <w:rPr>
          <w:rFonts w:hint="eastAsia" w:cs="宋体"/>
          <w:bCs/>
          <w:sz w:val="24"/>
        </w:rPr>
        <w:t>2、根据《基金法》、《运作办法》及其他有关规定，基金管理人的义务包括但不限于：</w:t>
      </w:r>
    </w:p>
    <w:p>
      <w:pPr>
        <w:pStyle w:val="21"/>
        <w:adjustRightInd w:val="0"/>
        <w:snapToGrid w:val="0"/>
        <w:ind w:firstLine="480"/>
        <w:rPr>
          <w:rFonts w:cs="宋体"/>
          <w:bCs/>
          <w:sz w:val="24"/>
        </w:rPr>
      </w:pPr>
      <w:r>
        <w:rPr>
          <w:rFonts w:hint="eastAsia" w:cs="宋体"/>
          <w:bCs/>
          <w:sz w:val="24"/>
        </w:rPr>
        <w:t>（1）依法募集资金，办理或者委托经中国证监会认定的其他机构代为办理基金份额的发售、申购、赎回和登记事宜；</w:t>
      </w:r>
    </w:p>
    <w:p>
      <w:pPr>
        <w:pStyle w:val="21"/>
        <w:adjustRightInd w:val="0"/>
        <w:snapToGrid w:val="0"/>
        <w:ind w:firstLine="480"/>
        <w:rPr>
          <w:rFonts w:cs="宋体"/>
          <w:bCs/>
          <w:sz w:val="24"/>
        </w:rPr>
      </w:pPr>
      <w:r>
        <w:rPr>
          <w:rFonts w:hint="eastAsia" w:cs="宋体"/>
          <w:bCs/>
          <w:sz w:val="24"/>
        </w:rPr>
        <w:t>（2）办理基金备案手续；</w:t>
      </w:r>
    </w:p>
    <w:p>
      <w:pPr>
        <w:pStyle w:val="21"/>
        <w:adjustRightInd w:val="0"/>
        <w:snapToGrid w:val="0"/>
        <w:ind w:firstLine="480"/>
        <w:rPr>
          <w:rFonts w:cs="宋体"/>
          <w:bCs/>
          <w:sz w:val="24"/>
        </w:rPr>
      </w:pPr>
      <w:r>
        <w:rPr>
          <w:rFonts w:hint="eastAsia" w:cs="宋体"/>
          <w:bCs/>
          <w:sz w:val="24"/>
        </w:rPr>
        <w:t>（3）自基金合同生效之日起，以诚实信用、谨慎勤勉的原则管理和运用基金财产；</w:t>
      </w:r>
    </w:p>
    <w:p>
      <w:pPr>
        <w:pStyle w:val="21"/>
        <w:adjustRightInd w:val="0"/>
        <w:snapToGrid w:val="0"/>
        <w:ind w:firstLine="480"/>
        <w:rPr>
          <w:rFonts w:cs="宋体"/>
          <w:bCs/>
          <w:sz w:val="24"/>
        </w:rPr>
      </w:pPr>
      <w:r>
        <w:rPr>
          <w:rFonts w:hint="eastAsia" w:cs="宋体"/>
          <w:bCs/>
          <w:sz w:val="24"/>
        </w:rPr>
        <w:t>（4）配备足够的具有专业资格的人员进行基金投资分析、决策，以专业化的经营方式管理和运作基金财产；</w:t>
      </w:r>
    </w:p>
    <w:p>
      <w:pPr>
        <w:pStyle w:val="21"/>
        <w:adjustRightInd w:val="0"/>
        <w:snapToGrid w:val="0"/>
        <w:ind w:firstLine="480"/>
        <w:rPr>
          <w:rFonts w:cs="宋体"/>
          <w:bCs/>
          <w:sz w:val="24"/>
        </w:rPr>
      </w:pPr>
      <w:r>
        <w:rPr>
          <w:rFonts w:hint="eastAsia" w:cs="宋体"/>
          <w:bCs/>
          <w:sz w:val="24"/>
        </w:rPr>
        <w:t>（5）建立健全内部风险控制、监察与稽核、财务管理及人事管理等制度，保证所管理的基金财产和基金管理人的财产相互独立，对所管理的不同基金分别管理，分别记账，进行证券/期货投资；</w:t>
      </w:r>
    </w:p>
    <w:p>
      <w:pPr>
        <w:pStyle w:val="21"/>
        <w:adjustRightInd w:val="0"/>
        <w:snapToGrid w:val="0"/>
        <w:ind w:firstLine="480"/>
        <w:rPr>
          <w:rFonts w:cs="宋体"/>
          <w:bCs/>
          <w:sz w:val="24"/>
        </w:rPr>
      </w:pPr>
      <w:r>
        <w:rPr>
          <w:rFonts w:hint="eastAsia" w:cs="宋体"/>
          <w:bCs/>
          <w:sz w:val="24"/>
        </w:rPr>
        <w:t>（6）除依据《基金法》、基金合同及其他有关规定外，不得利用基金财产为自己及任何第三人谋取利益，不得委托第三人运作基金财产；</w:t>
      </w:r>
    </w:p>
    <w:p>
      <w:pPr>
        <w:pStyle w:val="21"/>
        <w:adjustRightInd w:val="0"/>
        <w:snapToGrid w:val="0"/>
        <w:ind w:firstLine="480"/>
        <w:rPr>
          <w:rFonts w:cs="宋体"/>
          <w:bCs/>
          <w:sz w:val="24"/>
        </w:rPr>
      </w:pPr>
      <w:r>
        <w:rPr>
          <w:rFonts w:hint="eastAsia" w:cs="宋体"/>
          <w:bCs/>
          <w:sz w:val="24"/>
        </w:rPr>
        <w:t>（7）依法接受基金托管人的监督；</w:t>
      </w:r>
    </w:p>
    <w:p>
      <w:pPr>
        <w:pStyle w:val="21"/>
        <w:adjustRightInd w:val="0"/>
        <w:snapToGrid w:val="0"/>
        <w:ind w:firstLine="480"/>
        <w:rPr>
          <w:rFonts w:cs="宋体"/>
          <w:bCs/>
          <w:sz w:val="24"/>
        </w:rPr>
      </w:pPr>
      <w:r>
        <w:rPr>
          <w:rFonts w:hint="eastAsia" w:cs="宋体"/>
          <w:bCs/>
          <w:sz w:val="24"/>
        </w:rPr>
        <w:t>（8）采取适当合理的措施使计算基金份额认购、申购、赎回和注销价格的方法符合《基金合同》等法律文件的规定，按有关规定计算并公告基金净值信息，确定各类基金份额申购、赎回的价格；</w:t>
      </w:r>
    </w:p>
    <w:p>
      <w:pPr>
        <w:pStyle w:val="21"/>
        <w:adjustRightInd w:val="0"/>
        <w:snapToGrid w:val="0"/>
        <w:ind w:firstLine="480"/>
        <w:rPr>
          <w:rFonts w:cs="宋体"/>
          <w:bCs/>
          <w:sz w:val="24"/>
        </w:rPr>
      </w:pPr>
      <w:r>
        <w:rPr>
          <w:rFonts w:hint="eastAsia" w:cs="宋体"/>
          <w:bCs/>
          <w:sz w:val="24"/>
        </w:rPr>
        <w:t>（9）进行基金会计核算并编制基金财务会计报告；</w:t>
      </w:r>
    </w:p>
    <w:p>
      <w:pPr>
        <w:pStyle w:val="21"/>
        <w:adjustRightInd w:val="0"/>
        <w:snapToGrid w:val="0"/>
        <w:ind w:firstLine="480"/>
        <w:rPr>
          <w:rFonts w:cs="宋体"/>
          <w:bCs/>
          <w:sz w:val="24"/>
        </w:rPr>
      </w:pPr>
      <w:r>
        <w:rPr>
          <w:rFonts w:hint="eastAsia" w:cs="宋体"/>
          <w:bCs/>
          <w:sz w:val="24"/>
        </w:rPr>
        <w:t>（10）编制季度报告、中期报告和年度报告；</w:t>
      </w:r>
    </w:p>
    <w:p>
      <w:pPr>
        <w:pStyle w:val="21"/>
        <w:adjustRightInd w:val="0"/>
        <w:snapToGrid w:val="0"/>
        <w:ind w:firstLine="480"/>
        <w:rPr>
          <w:rFonts w:cs="宋体"/>
          <w:bCs/>
          <w:sz w:val="24"/>
        </w:rPr>
      </w:pPr>
      <w:r>
        <w:rPr>
          <w:rFonts w:hint="eastAsia" w:cs="宋体"/>
          <w:bCs/>
          <w:sz w:val="24"/>
        </w:rPr>
        <w:t>（11）严格按照《基金法》、基金合同及其他有关规定，履行信息披露及报告义务；</w:t>
      </w:r>
    </w:p>
    <w:p>
      <w:pPr>
        <w:pStyle w:val="21"/>
        <w:adjustRightInd w:val="0"/>
        <w:snapToGrid w:val="0"/>
        <w:ind w:firstLine="480"/>
        <w:rPr>
          <w:rFonts w:cs="宋体"/>
          <w:bCs/>
          <w:sz w:val="24"/>
        </w:rPr>
      </w:pPr>
      <w:r>
        <w:rPr>
          <w:rFonts w:hint="eastAsia" w:cs="宋体"/>
          <w:bCs/>
          <w:sz w:val="24"/>
        </w:rPr>
        <w:t>（12）保守基金商业秘密，不泄露基金投资计划、投资意向等。除《基金法》、基金合同及其他有关法律法规或监管机构另有规定或要求外，在基金信息公开披露前应予保密，不向他人泄露，但向监管机构、司法机关提供或因审计、法律等外部专业顾问提供服务而向其提供的情况除外；</w:t>
      </w:r>
    </w:p>
    <w:p>
      <w:pPr>
        <w:pStyle w:val="21"/>
        <w:adjustRightInd w:val="0"/>
        <w:snapToGrid w:val="0"/>
        <w:ind w:firstLine="480"/>
        <w:rPr>
          <w:rFonts w:cs="宋体"/>
          <w:bCs/>
          <w:sz w:val="24"/>
        </w:rPr>
      </w:pPr>
      <w:r>
        <w:rPr>
          <w:rFonts w:hint="eastAsia" w:cs="宋体"/>
          <w:bCs/>
          <w:sz w:val="24"/>
        </w:rPr>
        <w:t>（13）按基金合同的约定确定基金收益分配方案，及时向基金份额持有人分配基金收益；</w:t>
      </w:r>
    </w:p>
    <w:p>
      <w:pPr>
        <w:pStyle w:val="21"/>
        <w:adjustRightInd w:val="0"/>
        <w:snapToGrid w:val="0"/>
        <w:ind w:firstLine="480"/>
        <w:rPr>
          <w:rFonts w:cs="宋体"/>
          <w:bCs/>
          <w:sz w:val="24"/>
        </w:rPr>
      </w:pPr>
      <w:r>
        <w:rPr>
          <w:rFonts w:hint="eastAsia" w:cs="宋体"/>
          <w:bCs/>
          <w:sz w:val="24"/>
        </w:rPr>
        <w:t>（14）按规定受理申购与赎回申请，及时、足额支付赎回款项；</w:t>
      </w:r>
    </w:p>
    <w:p>
      <w:pPr>
        <w:pStyle w:val="21"/>
        <w:adjustRightInd w:val="0"/>
        <w:snapToGrid w:val="0"/>
        <w:ind w:firstLine="480"/>
        <w:rPr>
          <w:rFonts w:cs="宋体"/>
          <w:bCs/>
          <w:sz w:val="24"/>
        </w:rPr>
      </w:pPr>
      <w:r>
        <w:rPr>
          <w:rFonts w:hint="eastAsia" w:cs="宋体"/>
          <w:bCs/>
          <w:sz w:val="24"/>
        </w:rPr>
        <w:t>（15）依据《基金法》、基金合同及其他有关规定召集基金份额持有人大会或配合基金托管人、基金份额持有人依法召集基金份额持有人大会；</w:t>
      </w:r>
    </w:p>
    <w:p>
      <w:pPr>
        <w:pStyle w:val="21"/>
        <w:adjustRightInd w:val="0"/>
        <w:snapToGrid w:val="0"/>
        <w:ind w:firstLine="480"/>
        <w:rPr>
          <w:rFonts w:cs="宋体"/>
          <w:bCs/>
          <w:sz w:val="24"/>
        </w:rPr>
      </w:pPr>
      <w:r>
        <w:rPr>
          <w:rFonts w:hint="eastAsia" w:cs="宋体"/>
          <w:bCs/>
          <w:sz w:val="24"/>
        </w:rPr>
        <w:t>（16）按规定保存基金财产管理业务活动的会计账册、报表、记录和其他相关资料，保存期限不低于法律法规的规定；</w:t>
      </w:r>
    </w:p>
    <w:p>
      <w:pPr>
        <w:pStyle w:val="21"/>
        <w:adjustRightInd w:val="0"/>
        <w:snapToGrid w:val="0"/>
        <w:ind w:firstLine="480"/>
        <w:rPr>
          <w:rFonts w:cs="宋体"/>
          <w:bCs/>
          <w:sz w:val="24"/>
        </w:rPr>
      </w:pPr>
      <w:r>
        <w:rPr>
          <w:rFonts w:hint="eastAsia" w:cs="宋体"/>
          <w:bCs/>
          <w:sz w:val="24"/>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pPr>
        <w:pStyle w:val="21"/>
        <w:adjustRightInd w:val="0"/>
        <w:snapToGrid w:val="0"/>
        <w:ind w:firstLine="480"/>
        <w:rPr>
          <w:rFonts w:cs="宋体"/>
          <w:bCs/>
          <w:sz w:val="24"/>
        </w:rPr>
      </w:pPr>
      <w:r>
        <w:rPr>
          <w:rFonts w:hint="eastAsia" w:cs="宋体"/>
          <w:bCs/>
          <w:sz w:val="24"/>
        </w:rPr>
        <w:t>（18）组织并参加基金财产清算小组，参与基金财产的保管、清理、估价、变现和分配；</w:t>
      </w:r>
    </w:p>
    <w:p>
      <w:pPr>
        <w:pStyle w:val="21"/>
        <w:adjustRightInd w:val="0"/>
        <w:snapToGrid w:val="0"/>
        <w:ind w:firstLine="480"/>
        <w:rPr>
          <w:rFonts w:cs="宋体"/>
          <w:bCs/>
          <w:sz w:val="24"/>
        </w:rPr>
      </w:pPr>
      <w:r>
        <w:rPr>
          <w:rFonts w:hint="eastAsia" w:cs="宋体"/>
          <w:bCs/>
          <w:sz w:val="24"/>
        </w:rPr>
        <w:t>（19）面临解散、依法被撤销或者被依法宣告破产时，及时报告中国证监会并通知基金托管人；</w:t>
      </w:r>
    </w:p>
    <w:p>
      <w:pPr>
        <w:pStyle w:val="21"/>
        <w:adjustRightInd w:val="0"/>
        <w:snapToGrid w:val="0"/>
        <w:ind w:firstLine="480"/>
        <w:rPr>
          <w:rFonts w:cs="宋体"/>
          <w:bCs/>
          <w:sz w:val="24"/>
        </w:rPr>
      </w:pPr>
      <w:r>
        <w:rPr>
          <w:rFonts w:hint="eastAsia" w:cs="宋体"/>
          <w:bCs/>
          <w:sz w:val="24"/>
        </w:rPr>
        <w:t>（20）因违反基金合同导致基金财产的损失或损害基金份额持有人合法权益时，应当承担赔偿责任，其赔偿责任不因其退任而免除；</w:t>
      </w:r>
    </w:p>
    <w:p>
      <w:pPr>
        <w:pStyle w:val="21"/>
        <w:adjustRightInd w:val="0"/>
        <w:snapToGrid w:val="0"/>
        <w:ind w:firstLine="480"/>
        <w:rPr>
          <w:rFonts w:cs="宋体"/>
          <w:bCs/>
          <w:sz w:val="24"/>
        </w:rPr>
      </w:pPr>
      <w:r>
        <w:rPr>
          <w:rFonts w:hint="eastAsia" w:cs="宋体"/>
          <w:bCs/>
          <w:sz w:val="24"/>
        </w:rPr>
        <w:t>（21）监督基金托管人按法律法规和基金合同规定履行自己的义务，基金托管人违反基金合同造成基金财产损失时，基金管理人应为基金份额持有人利益向基金托管人追偿；</w:t>
      </w:r>
    </w:p>
    <w:p>
      <w:pPr>
        <w:pStyle w:val="21"/>
        <w:adjustRightInd w:val="0"/>
        <w:snapToGrid w:val="0"/>
        <w:ind w:firstLine="480"/>
        <w:rPr>
          <w:rFonts w:cs="宋体"/>
          <w:bCs/>
          <w:sz w:val="24"/>
        </w:rPr>
      </w:pPr>
      <w:r>
        <w:rPr>
          <w:rFonts w:hint="eastAsia" w:cs="宋体"/>
          <w:bCs/>
          <w:sz w:val="24"/>
        </w:rPr>
        <w:t>（22）当基金管理人将其义务委托第三方处理时，应当对第三方处理有关基金事务的行为承担责任；</w:t>
      </w:r>
    </w:p>
    <w:p>
      <w:pPr>
        <w:pStyle w:val="21"/>
        <w:adjustRightInd w:val="0"/>
        <w:snapToGrid w:val="0"/>
        <w:ind w:firstLine="480"/>
        <w:rPr>
          <w:rFonts w:cs="宋体"/>
          <w:bCs/>
          <w:sz w:val="24"/>
        </w:rPr>
      </w:pPr>
      <w:r>
        <w:rPr>
          <w:rFonts w:hint="eastAsia" w:cs="宋体"/>
          <w:bCs/>
          <w:sz w:val="24"/>
        </w:rPr>
        <w:t>（23）以基金管理人名义，代表基金份额持有人利益行使诉讼权利或实施其他法律行为；</w:t>
      </w:r>
    </w:p>
    <w:p>
      <w:pPr>
        <w:pStyle w:val="21"/>
        <w:adjustRightInd w:val="0"/>
        <w:snapToGrid w:val="0"/>
        <w:ind w:firstLine="480"/>
        <w:rPr>
          <w:rFonts w:cs="宋体"/>
          <w:bCs/>
          <w:sz w:val="24"/>
        </w:rPr>
      </w:pPr>
      <w:r>
        <w:rPr>
          <w:rFonts w:hint="eastAsia" w:cs="宋体"/>
          <w:bCs/>
          <w:sz w:val="24"/>
        </w:rPr>
        <w:t>（24）基金管理人在募集期间未能达到基金的备案条件，基金合同不能生效，基金管理人承担全部募集费用，将已募集资金并加计银行同期活期存款利息（税后）在基金募集期结束后30日内退还基金认购人；</w:t>
      </w:r>
    </w:p>
    <w:p>
      <w:pPr>
        <w:pStyle w:val="21"/>
        <w:adjustRightInd w:val="0"/>
        <w:snapToGrid w:val="0"/>
        <w:ind w:firstLine="480"/>
        <w:rPr>
          <w:rFonts w:cs="宋体"/>
          <w:bCs/>
          <w:sz w:val="24"/>
        </w:rPr>
      </w:pPr>
      <w:r>
        <w:rPr>
          <w:rFonts w:hint="eastAsia" w:cs="宋体"/>
          <w:bCs/>
          <w:sz w:val="24"/>
        </w:rPr>
        <w:t>（25）执行生效的基金份额持有人大会的决议；</w:t>
      </w:r>
    </w:p>
    <w:p>
      <w:pPr>
        <w:pStyle w:val="21"/>
        <w:adjustRightInd w:val="0"/>
        <w:snapToGrid w:val="0"/>
        <w:ind w:firstLine="480"/>
        <w:rPr>
          <w:rFonts w:cs="宋体"/>
          <w:bCs/>
          <w:sz w:val="24"/>
        </w:rPr>
      </w:pPr>
      <w:r>
        <w:rPr>
          <w:rFonts w:hint="eastAsia" w:cs="宋体"/>
          <w:bCs/>
          <w:sz w:val="24"/>
        </w:rPr>
        <w:t>（26）建立并保存基金份额持有人名册；</w:t>
      </w:r>
    </w:p>
    <w:p>
      <w:pPr>
        <w:pStyle w:val="21"/>
        <w:adjustRightInd w:val="0"/>
        <w:snapToGrid w:val="0"/>
        <w:ind w:firstLine="480"/>
        <w:rPr>
          <w:rFonts w:cs="宋体"/>
          <w:bCs/>
          <w:sz w:val="24"/>
        </w:rPr>
      </w:pPr>
      <w:r>
        <w:rPr>
          <w:rFonts w:hint="eastAsia" w:cs="宋体"/>
          <w:bCs/>
          <w:sz w:val="24"/>
        </w:rPr>
        <w:t>（27）法律法规及中国证监会规定的和《基金合同》约定的其他义务。</w:t>
      </w:r>
    </w:p>
    <w:p>
      <w:pPr>
        <w:pStyle w:val="21"/>
        <w:adjustRightInd w:val="0"/>
        <w:snapToGrid w:val="0"/>
        <w:ind w:firstLine="480"/>
        <w:rPr>
          <w:rFonts w:cs="宋体"/>
          <w:bCs/>
          <w:sz w:val="24"/>
        </w:rPr>
      </w:pPr>
      <w:r>
        <w:rPr>
          <w:rFonts w:hint="eastAsia" w:cs="宋体"/>
          <w:bCs/>
          <w:sz w:val="24"/>
        </w:rPr>
        <w:t>（二）基金托管人的权利与义务</w:t>
      </w:r>
    </w:p>
    <w:p>
      <w:pPr>
        <w:pStyle w:val="21"/>
        <w:adjustRightInd w:val="0"/>
        <w:snapToGrid w:val="0"/>
        <w:ind w:firstLine="480"/>
        <w:rPr>
          <w:rFonts w:cs="宋体"/>
          <w:bCs/>
          <w:sz w:val="24"/>
        </w:rPr>
      </w:pPr>
      <w:r>
        <w:rPr>
          <w:rFonts w:hint="eastAsia" w:cs="宋体"/>
          <w:bCs/>
          <w:sz w:val="24"/>
        </w:rPr>
        <w:t>1、根据《基金法》、《运作办法》及其他有关规定，基金托管人的权利包括但不限于：</w:t>
      </w:r>
    </w:p>
    <w:p>
      <w:pPr>
        <w:pStyle w:val="21"/>
        <w:adjustRightInd w:val="0"/>
        <w:snapToGrid w:val="0"/>
        <w:ind w:firstLine="480"/>
        <w:rPr>
          <w:rFonts w:cs="宋体"/>
          <w:bCs/>
          <w:sz w:val="24"/>
        </w:rPr>
      </w:pPr>
      <w:r>
        <w:rPr>
          <w:rFonts w:hint="eastAsia" w:cs="宋体"/>
          <w:bCs/>
          <w:sz w:val="24"/>
        </w:rPr>
        <w:t>（1）自《基金合同》生效之日起，依法律法规和《基金合同》的规定安全保管基金财产；</w:t>
      </w:r>
    </w:p>
    <w:p>
      <w:pPr>
        <w:pStyle w:val="21"/>
        <w:adjustRightInd w:val="0"/>
        <w:snapToGrid w:val="0"/>
        <w:ind w:firstLine="480"/>
        <w:rPr>
          <w:rFonts w:cs="宋体"/>
          <w:bCs/>
          <w:sz w:val="24"/>
        </w:rPr>
      </w:pPr>
      <w:r>
        <w:rPr>
          <w:rFonts w:hint="eastAsia" w:cs="宋体"/>
          <w:bCs/>
          <w:sz w:val="24"/>
        </w:rPr>
        <w:t>（2）依《基金合同》约定获得基金托管费以及法律法规规定或监管部门批准的其他费用；</w:t>
      </w:r>
    </w:p>
    <w:p>
      <w:pPr>
        <w:pStyle w:val="21"/>
        <w:adjustRightInd w:val="0"/>
        <w:snapToGrid w:val="0"/>
        <w:ind w:firstLine="480"/>
        <w:rPr>
          <w:rFonts w:cs="宋体"/>
          <w:bCs/>
          <w:sz w:val="24"/>
        </w:rPr>
      </w:pPr>
      <w:r>
        <w:rPr>
          <w:rFonts w:hint="eastAsia" w:cs="宋体"/>
          <w:bCs/>
          <w:sz w:val="24"/>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pPr>
        <w:pStyle w:val="21"/>
        <w:adjustRightInd w:val="0"/>
        <w:snapToGrid w:val="0"/>
        <w:ind w:firstLine="480"/>
        <w:rPr>
          <w:rFonts w:cs="宋体"/>
          <w:bCs/>
          <w:sz w:val="24"/>
        </w:rPr>
      </w:pPr>
      <w:r>
        <w:rPr>
          <w:rFonts w:hint="eastAsia" w:cs="宋体"/>
          <w:bCs/>
          <w:sz w:val="24"/>
        </w:rPr>
        <w:t>（4）根据相关市场规则，为基金开设资金账户、证券账户等投资所需账户，为基金办理证券、期货交易资金清算；</w:t>
      </w:r>
    </w:p>
    <w:p>
      <w:pPr>
        <w:pStyle w:val="21"/>
        <w:adjustRightInd w:val="0"/>
        <w:snapToGrid w:val="0"/>
        <w:ind w:firstLine="480"/>
        <w:rPr>
          <w:rFonts w:cs="宋体"/>
          <w:bCs/>
          <w:sz w:val="24"/>
        </w:rPr>
      </w:pPr>
      <w:r>
        <w:rPr>
          <w:rFonts w:hint="eastAsia" w:cs="宋体"/>
          <w:bCs/>
          <w:sz w:val="24"/>
        </w:rPr>
        <w:t>（5）提议召开或召集基金份额持有人大会；</w:t>
      </w:r>
    </w:p>
    <w:p>
      <w:pPr>
        <w:pStyle w:val="21"/>
        <w:adjustRightInd w:val="0"/>
        <w:snapToGrid w:val="0"/>
        <w:ind w:firstLine="480"/>
        <w:rPr>
          <w:rFonts w:cs="宋体"/>
          <w:bCs/>
          <w:sz w:val="24"/>
        </w:rPr>
      </w:pPr>
      <w:r>
        <w:rPr>
          <w:rFonts w:hint="eastAsia" w:cs="宋体"/>
          <w:bCs/>
          <w:sz w:val="24"/>
        </w:rPr>
        <w:t>（6）在基金管理人更换时，提名新的基金管理人；</w:t>
      </w:r>
    </w:p>
    <w:p>
      <w:pPr>
        <w:pStyle w:val="21"/>
        <w:adjustRightInd w:val="0"/>
        <w:snapToGrid w:val="0"/>
        <w:ind w:firstLine="480"/>
        <w:rPr>
          <w:rFonts w:cs="宋体"/>
          <w:bCs/>
          <w:sz w:val="24"/>
        </w:rPr>
      </w:pPr>
      <w:r>
        <w:rPr>
          <w:rFonts w:hint="eastAsia" w:cs="宋体"/>
          <w:bCs/>
          <w:sz w:val="24"/>
        </w:rPr>
        <w:t>（7）法律法规及中国证监会规定的和《基金合同》约定的其他权利。</w:t>
      </w:r>
    </w:p>
    <w:p>
      <w:pPr>
        <w:pStyle w:val="21"/>
        <w:adjustRightInd w:val="0"/>
        <w:snapToGrid w:val="0"/>
        <w:ind w:firstLine="480"/>
        <w:rPr>
          <w:rFonts w:cs="宋体"/>
          <w:bCs/>
          <w:sz w:val="24"/>
        </w:rPr>
      </w:pPr>
      <w:r>
        <w:rPr>
          <w:rFonts w:hint="eastAsia" w:cs="宋体"/>
          <w:bCs/>
          <w:sz w:val="24"/>
        </w:rPr>
        <w:t>2、根据《基金法》、《运作办法》及其他有关规定，基金托管人的义务包括但不限于：</w:t>
      </w:r>
    </w:p>
    <w:p>
      <w:pPr>
        <w:pStyle w:val="21"/>
        <w:adjustRightInd w:val="0"/>
        <w:snapToGrid w:val="0"/>
        <w:ind w:firstLine="480"/>
        <w:rPr>
          <w:rFonts w:cs="宋体"/>
          <w:bCs/>
          <w:sz w:val="24"/>
        </w:rPr>
      </w:pPr>
      <w:r>
        <w:rPr>
          <w:rFonts w:hint="eastAsia" w:cs="宋体"/>
          <w:bCs/>
          <w:sz w:val="24"/>
        </w:rPr>
        <w:t>（1）以诚实信用、勤勉尽责的原则持有并安全保管基金财产；</w:t>
      </w:r>
    </w:p>
    <w:p>
      <w:pPr>
        <w:pStyle w:val="21"/>
        <w:adjustRightInd w:val="0"/>
        <w:snapToGrid w:val="0"/>
        <w:ind w:firstLine="480"/>
        <w:rPr>
          <w:rFonts w:cs="宋体"/>
          <w:bCs/>
          <w:sz w:val="24"/>
        </w:rPr>
      </w:pPr>
      <w:r>
        <w:rPr>
          <w:rFonts w:hint="eastAsia" w:cs="宋体"/>
          <w:bCs/>
          <w:sz w:val="24"/>
        </w:rPr>
        <w:t>（2）设立专门的基金托管部门，具有符合要求的营业场所，配备足够的、合格的熟悉基金托管业务的专职人员，负责基金财产托管事宜；</w:t>
      </w:r>
    </w:p>
    <w:p>
      <w:pPr>
        <w:pStyle w:val="21"/>
        <w:adjustRightInd w:val="0"/>
        <w:snapToGrid w:val="0"/>
        <w:ind w:firstLine="480"/>
        <w:rPr>
          <w:rFonts w:cs="宋体"/>
          <w:bCs/>
          <w:sz w:val="24"/>
        </w:rPr>
      </w:pPr>
      <w:r>
        <w:rPr>
          <w:rFonts w:hint="eastAsia" w:cs="宋体"/>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pStyle w:val="21"/>
        <w:adjustRightInd w:val="0"/>
        <w:snapToGrid w:val="0"/>
        <w:ind w:firstLine="480"/>
        <w:rPr>
          <w:rFonts w:cs="宋体"/>
          <w:bCs/>
          <w:sz w:val="24"/>
        </w:rPr>
      </w:pPr>
      <w:r>
        <w:rPr>
          <w:rFonts w:hint="eastAsia" w:cs="宋体"/>
          <w:bCs/>
          <w:sz w:val="24"/>
        </w:rPr>
        <w:t>（4）除依据《基金法》、基金合同及其他有关规定外，不得利用基金财产为自己及任何第三人谋取利益，不得委托第三人托管基金财产；</w:t>
      </w:r>
    </w:p>
    <w:p>
      <w:pPr>
        <w:pStyle w:val="21"/>
        <w:adjustRightInd w:val="0"/>
        <w:snapToGrid w:val="0"/>
        <w:ind w:firstLine="480"/>
        <w:rPr>
          <w:rFonts w:cs="宋体"/>
          <w:bCs/>
          <w:sz w:val="24"/>
        </w:rPr>
      </w:pPr>
      <w:r>
        <w:rPr>
          <w:rFonts w:hint="eastAsia" w:cs="宋体"/>
          <w:bCs/>
          <w:sz w:val="24"/>
        </w:rPr>
        <w:t>（5）保管由基金管理人代表基金签订的与基金有关的重大合同及有关凭证；</w:t>
      </w:r>
    </w:p>
    <w:p>
      <w:pPr>
        <w:pStyle w:val="21"/>
        <w:adjustRightInd w:val="0"/>
        <w:snapToGrid w:val="0"/>
        <w:ind w:firstLine="480"/>
        <w:rPr>
          <w:rFonts w:cs="宋体"/>
          <w:bCs/>
          <w:sz w:val="24"/>
        </w:rPr>
      </w:pPr>
      <w:r>
        <w:rPr>
          <w:rFonts w:hint="eastAsia" w:cs="宋体"/>
          <w:bCs/>
          <w:sz w:val="24"/>
        </w:rPr>
        <w:t>（6）按规定开设基金财产的资金账户和证券账户等投资所需账户，按照《基金合同》的约定，根据基金管理人的投资指令，及时办理清算、交割事宜；</w:t>
      </w:r>
    </w:p>
    <w:p>
      <w:pPr>
        <w:pStyle w:val="21"/>
        <w:adjustRightInd w:val="0"/>
        <w:snapToGrid w:val="0"/>
        <w:ind w:firstLine="480"/>
        <w:rPr>
          <w:rFonts w:cs="宋体"/>
          <w:bCs/>
          <w:sz w:val="24"/>
        </w:rPr>
      </w:pPr>
      <w:r>
        <w:rPr>
          <w:rFonts w:hint="eastAsia" w:cs="宋体"/>
          <w:bCs/>
          <w:sz w:val="24"/>
        </w:rPr>
        <w:t>（7）保守基金商业秘密，除《基金法》、基金合同及其他有关法律法规或监管机构另有规定或要求外，在基金信息公开披露前予以保密，不得向他人泄露，但向监管机构、司法机关提供或因审计、法律等外部专业顾问提供服务而向其提供的情况除外；</w:t>
      </w:r>
    </w:p>
    <w:p>
      <w:pPr>
        <w:pStyle w:val="21"/>
        <w:adjustRightInd w:val="0"/>
        <w:snapToGrid w:val="0"/>
        <w:ind w:firstLine="480"/>
        <w:rPr>
          <w:rFonts w:cs="宋体"/>
          <w:bCs/>
          <w:sz w:val="24"/>
        </w:rPr>
      </w:pPr>
      <w:r>
        <w:rPr>
          <w:rFonts w:hint="eastAsia" w:cs="宋体"/>
          <w:bCs/>
          <w:sz w:val="24"/>
        </w:rPr>
        <w:t>（8）复核、审查基金管理人计算的基金资产净值、各类基金份额净值、各类基金份额申购、赎回价格；</w:t>
      </w:r>
    </w:p>
    <w:p>
      <w:pPr>
        <w:pStyle w:val="21"/>
        <w:adjustRightInd w:val="0"/>
        <w:snapToGrid w:val="0"/>
        <w:ind w:firstLine="480"/>
        <w:rPr>
          <w:rFonts w:cs="宋体"/>
          <w:bCs/>
          <w:sz w:val="24"/>
        </w:rPr>
      </w:pPr>
      <w:r>
        <w:rPr>
          <w:rFonts w:hint="eastAsia" w:cs="宋体"/>
          <w:bCs/>
          <w:sz w:val="24"/>
        </w:rPr>
        <w:t>（9）办理与基金托管业务活动有关的信息披露事项；</w:t>
      </w:r>
    </w:p>
    <w:p>
      <w:pPr>
        <w:pStyle w:val="21"/>
        <w:adjustRightInd w:val="0"/>
        <w:snapToGrid w:val="0"/>
        <w:ind w:firstLine="480"/>
        <w:rPr>
          <w:rFonts w:cs="宋体"/>
          <w:bCs/>
          <w:sz w:val="24"/>
        </w:rPr>
      </w:pPr>
      <w:r>
        <w:rPr>
          <w:rFonts w:hint="eastAsia" w:cs="宋体"/>
          <w:bCs/>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pStyle w:val="21"/>
        <w:adjustRightInd w:val="0"/>
        <w:snapToGrid w:val="0"/>
        <w:ind w:firstLine="480"/>
        <w:rPr>
          <w:rFonts w:cs="宋体"/>
          <w:bCs/>
          <w:sz w:val="24"/>
        </w:rPr>
      </w:pPr>
      <w:r>
        <w:rPr>
          <w:rFonts w:hint="eastAsia" w:cs="宋体"/>
          <w:bCs/>
          <w:sz w:val="24"/>
        </w:rPr>
        <w:t>（11）保存基金托管业务活动的记录、账册、报表和其他相关资料，保存期限不低于法律法规的规定；</w:t>
      </w:r>
    </w:p>
    <w:p>
      <w:pPr>
        <w:pStyle w:val="21"/>
        <w:adjustRightInd w:val="0"/>
        <w:snapToGrid w:val="0"/>
        <w:ind w:firstLine="480"/>
        <w:rPr>
          <w:rFonts w:cs="宋体"/>
          <w:bCs/>
          <w:sz w:val="24"/>
        </w:rPr>
      </w:pPr>
      <w:r>
        <w:rPr>
          <w:rFonts w:hint="eastAsia" w:cs="宋体"/>
          <w:bCs/>
          <w:sz w:val="24"/>
        </w:rPr>
        <w:t>（12）从基金管理人或其委托的登记机构处接收并保存基金份额持有人名册，保存期限不低于法律法规的规定；</w:t>
      </w:r>
    </w:p>
    <w:p>
      <w:pPr>
        <w:pStyle w:val="21"/>
        <w:adjustRightInd w:val="0"/>
        <w:snapToGrid w:val="0"/>
        <w:ind w:firstLine="480"/>
        <w:rPr>
          <w:rFonts w:cs="宋体"/>
          <w:bCs/>
          <w:sz w:val="24"/>
        </w:rPr>
      </w:pPr>
      <w:r>
        <w:rPr>
          <w:rFonts w:hint="eastAsia" w:cs="宋体"/>
          <w:bCs/>
          <w:sz w:val="24"/>
        </w:rPr>
        <w:t>（13）按规定制作相关账册并与基金管理人核对；</w:t>
      </w:r>
    </w:p>
    <w:p>
      <w:pPr>
        <w:pStyle w:val="21"/>
        <w:adjustRightInd w:val="0"/>
        <w:snapToGrid w:val="0"/>
        <w:ind w:firstLine="480"/>
        <w:rPr>
          <w:rFonts w:cs="宋体"/>
          <w:bCs/>
          <w:sz w:val="24"/>
        </w:rPr>
      </w:pPr>
      <w:r>
        <w:rPr>
          <w:rFonts w:hint="eastAsia" w:cs="宋体"/>
          <w:bCs/>
          <w:sz w:val="24"/>
        </w:rPr>
        <w:t>（14）依据基金管理人的指令或有关规定向基金份额持有人支付基金收益和赎回款项；</w:t>
      </w:r>
    </w:p>
    <w:p>
      <w:pPr>
        <w:pStyle w:val="21"/>
        <w:adjustRightInd w:val="0"/>
        <w:snapToGrid w:val="0"/>
        <w:ind w:firstLine="480"/>
        <w:rPr>
          <w:rFonts w:cs="宋体"/>
          <w:bCs/>
          <w:sz w:val="24"/>
        </w:rPr>
      </w:pPr>
      <w:r>
        <w:rPr>
          <w:rFonts w:hint="eastAsia" w:cs="宋体"/>
          <w:bCs/>
          <w:sz w:val="24"/>
        </w:rPr>
        <w:t>（15）依据《基金法》、基金合同及其他有关规定，召集基金份额持有人大会或配合基金管理人、基金份额持有人依法召集基金份额持有人大会；</w:t>
      </w:r>
    </w:p>
    <w:p>
      <w:pPr>
        <w:pStyle w:val="21"/>
        <w:adjustRightInd w:val="0"/>
        <w:snapToGrid w:val="0"/>
        <w:ind w:firstLine="480"/>
        <w:rPr>
          <w:rFonts w:cs="宋体"/>
          <w:bCs/>
          <w:sz w:val="24"/>
        </w:rPr>
      </w:pPr>
      <w:r>
        <w:rPr>
          <w:rFonts w:hint="eastAsia" w:cs="宋体"/>
          <w:bCs/>
          <w:sz w:val="24"/>
        </w:rPr>
        <w:t>（16）按照法律法规和基金合同的规定监督基金管理人的投资运作；</w:t>
      </w:r>
    </w:p>
    <w:p>
      <w:pPr>
        <w:pStyle w:val="21"/>
        <w:adjustRightInd w:val="0"/>
        <w:snapToGrid w:val="0"/>
        <w:ind w:firstLine="480"/>
        <w:rPr>
          <w:rFonts w:cs="宋体"/>
          <w:bCs/>
          <w:sz w:val="24"/>
        </w:rPr>
      </w:pPr>
      <w:r>
        <w:rPr>
          <w:rFonts w:hint="eastAsia" w:cs="宋体"/>
          <w:bCs/>
          <w:sz w:val="24"/>
        </w:rPr>
        <w:t>（17）参加基金财产清算小组，参与基金财产的保管、清理、估价、变现和分配；</w:t>
      </w:r>
    </w:p>
    <w:p>
      <w:pPr>
        <w:pStyle w:val="21"/>
        <w:adjustRightInd w:val="0"/>
        <w:snapToGrid w:val="0"/>
        <w:ind w:firstLine="480"/>
        <w:rPr>
          <w:rFonts w:cs="宋体"/>
          <w:bCs/>
          <w:sz w:val="24"/>
        </w:rPr>
      </w:pPr>
      <w:r>
        <w:rPr>
          <w:rFonts w:hint="eastAsia" w:cs="宋体"/>
          <w:bCs/>
          <w:sz w:val="24"/>
        </w:rPr>
        <w:t>（18）面临解散、依法被撤销或者被依法宣告破产时，及时报告中国证监会和银行业监督管理机构，并通知基金管理人；</w:t>
      </w:r>
    </w:p>
    <w:p>
      <w:pPr>
        <w:pStyle w:val="21"/>
        <w:adjustRightInd w:val="0"/>
        <w:snapToGrid w:val="0"/>
        <w:ind w:firstLine="480"/>
        <w:rPr>
          <w:rFonts w:cs="宋体"/>
          <w:bCs/>
          <w:sz w:val="24"/>
        </w:rPr>
      </w:pPr>
      <w:r>
        <w:rPr>
          <w:rFonts w:hint="eastAsia" w:cs="宋体"/>
          <w:bCs/>
          <w:sz w:val="24"/>
        </w:rPr>
        <w:t>（19）因违反基金合同导致基金财产损失时，应承担赔偿责任，其赔偿责任不因其退任而免除；</w:t>
      </w:r>
    </w:p>
    <w:p>
      <w:pPr>
        <w:pStyle w:val="21"/>
        <w:adjustRightInd w:val="0"/>
        <w:snapToGrid w:val="0"/>
        <w:ind w:firstLine="480"/>
        <w:rPr>
          <w:rFonts w:cs="宋体"/>
          <w:bCs/>
          <w:sz w:val="24"/>
        </w:rPr>
      </w:pPr>
      <w:r>
        <w:rPr>
          <w:rFonts w:hint="eastAsia" w:cs="宋体"/>
          <w:bCs/>
          <w:sz w:val="24"/>
        </w:rPr>
        <w:t>（20）按规定监督基金管理人按法律法规和基金合同规定履行自己的义务，基金管理人因违反基金合同造成基金财产损失时，应为基金份额持有人利益向基金管理人追偿；</w:t>
      </w:r>
    </w:p>
    <w:p>
      <w:pPr>
        <w:pStyle w:val="21"/>
        <w:adjustRightInd w:val="0"/>
        <w:snapToGrid w:val="0"/>
        <w:ind w:firstLine="480"/>
        <w:rPr>
          <w:rFonts w:cs="宋体"/>
          <w:bCs/>
          <w:sz w:val="24"/>
        </w:rPr>
      </w:pPr>
      <w:r>
        <w:rPr>
          <w:rFonts w:hint="eastAsia" w:cs="宋体"/>
          <w:bCs/>
          <w:sz w:val="24"/>
        </w:rPr>
        <w:t>（21）执行生效的基金份额持有人大会的决议；</w:t>
      </w:r>
    </w:p>
    <w:p>
      <w:pPr>
        <w:pStyle w:val="21"/>
        <w:adjustRightInd w:val="0"/>
        <w:snapToGrid w:val="0"/>
        <w:ind w:firstLine="480"/>
        <w:rPr>
          <w:rFonts w:cs="宋体"/>
          <w:bCs/>
          <w:sz w:val="24"/>
        </w:rPr>
      </w:pPr>
      <w:r>
        <w:rPr>
          <w:rFonts w:hint="eastAsia" w:cs="宋体"/>
          <w:bCs/>
          <w:sz w:val="24"/>
        </w:rPr>
        <w:t>（22）法律法规及中国证监会规定的和基金合同约定的其他义务。</w:t>
      </w:r>
    </w:p>
    <w:p>
      <w:pPr>
        <w:pStyle w:val="21"/>
        <w:adjustRightInd w:val="0"/>
        <w:snapToGrid w:val="0"/>
        <w:ind w:firstLine="480"/>
        <w:rPr>
          <w:rFonts w:cs="宋体"/>
          <w:bCs/>
          <w:sz w:val="24"/>
        </w:rPr>
      </w:pPr>
      <w:r>
        <w:rPr>
          <w:rFonts w:hint="eastAsia" w:cs="宋体"/>
          <w:bCs/>
          <w:sz w:val="24"/>
        </w:rPr>
        <w:t>（三）基金份额持有人的权利和义务</w:t>
      </w:r>
    </w:p>
    <w:p>
      <w:pPr>
        <w:pStyle w:val="21"/>
        <w:adjustRightInd w:val="0"/>
        <w:snapToGrid w:val="0"/>
        <w:ind w:firstLine="480"/>
        <w:rPr>
          <w:rFonts w:cs="宋体"/>
          <w:bCs/>
          <w:sz w:val="24"/>
        </w:rPr>
      </w:pPr>
      <w:r>
        <w:rPr>
          <w:rFonts w:hint="eastAsia" w:cs="宋体"/>
          <w:bCs/>
          <w:sz w:val="24"/>
        </w:rPr>
        <w:t>基金投资人持有本基金基金份额的行为即视为对《基金合同》的承认和接受，基金投资人自依据《基金合同》取得基金份额，即成为本基金基金份额持有人和《基金合同》的当事人，直至其不再持有本基金基金份额。基金份额持有人作为《基金合同》当事人并不以在《基金合同》上书面签章或签字为必要条件。</w:t>
      </w:r>
    </w:p>
    <w:p>
      <w:pPr>
        <w:pStyle w:val="21"/>
        <w:adjustRightInd w:val="0"/>
        <w:snapToGrid w:val="0"/>
        <w:ind w:firstLine="480"/>
        <w:rPr>
          <w:rFonts w:cs="宋体"/>
          <w:bCs/>
          <w:sz w:val="24"/>
        </w:rPr>
      </w:pPr>
      <w:r>
        <w:rPr>
          <w:rFonts w:hint="eastAsia" w:cs="宋体"/>
          <w:bCs/>
          <w:sz w:val="24"/>
        </w:rPr>
        <w:t>除法律法规另有规定或基金合同另有约定外，本基金同一类别每份基金份额具有同等的合法权益。本基金A类基金份额与C类基金份额由于基金份额净值的不同，基金收益分配的金额以及参与清算后的剩余基金财产分配的资产将可能有所不同。</w:t>
      </w:r>
    </w:p>
    <w:p>
      <w:pPr>
        <w:pStyle w:val="21"/>
        <w:adjustRightInd w:val="0"/>
        <w:snapToGrid w:val="0"/>
        <w:ind w:firstLine="480"/>
        <w:rPr>
          <w:rFonts w:cs="宋体"/>
          <w:bCs/>
          <w:sz w:val="24"/>
        </w:rPr>
      </w:pPr>
      <w:r>
        <w:rPr>
          <w:rFonts w:hint="eastAsia" w:cs="宋体"/>
          <w:bCs/>
          <w:sz w:val="24"/>
        </w:rPr>
        <w:t>1、根据《基金法》、《运作办法》及其他有关规定，基金份额持有人的权利包括但不限于：</w:t>
      </w:r>
    </w:p>
    <w:p>
      <w:pPr>
        <w:pStyle w:val="21"/>
        <w:adjustRightInd w:val="0"/>
        <w:snapToGrid w:val="0"/>
        <w:ind w:firstLine="480"/>
        <w:rPr>
          <w:rFonts w:cs="宋体"/>
          <w:bCs/>
          <w:sz w:val="24"/>
        </w:rPr>
      </w:pPr>
      <w:r>
        <w:rPr>
          <w:rFonts w:hint="eastAsia" w:cs="宋体"/>
          <w:bCs/>
          <w:sz w:val="24"/>
        </w:rPr>
        <w:t>（1）分享基金财产收益；</w:t>
      </w:r>
    </w:p>
    <w:p>
      <w:pPr>
        <w:pStyle w:val="21"/>
        <w:adjustRightInd w:val="0"/>
        <w:snapToGrid w:val="0"/>
        <w:ind w:firstLine="480"/>
        <w:rPr>
          <w:rFonts w:cs="宋体"/>
          <w:bCs/>
          <w:sz w:val="24"/>
        </w:rPr>
      </w:pPr>
      <w:r>
        <w:rPr>
          <w:rFonts w:hint="eastAsia" w:cs="宋体"/>
          <w:bCs/>
          <w:sz w:val="24"/>
        </w:rPr>
        <w:t>（2）参与分配清算后的剩余基金财产；</w:t>
      </w:r>
    </w:p>
    <w:p>
      <w:pPr>
        <w:pStyle w:val="21"/>
        <w:adjustRightInd w:val="0"/>
        <w:snapToGrid w:val="0"/>
        <w:ind w:firstLine="480"/>
        <w:rPr>
          <w:rFonts w:cs="宋体"/>
          <w:bCs/>
          <w:sz w:val="24"/>
        </w:rPr>
      </w:pPr>
      <w:r>
        <w:rPr>
          <w:rFonts w:hint="eastAsia" w:cs="宋体"/>
          <w:bCs/>
          <w:sz w:val="24"/>
        </w:rPr>
        <w:t>（3）依法转让或者申请赎回其持有的基金份额；</w:t>
      </w:r>
    </w:p>
    <w:p>
      <w:pPr>
        <w:pStyle w:val="21"/>
        <w:adjustRightInd w:val="0"/>
        <w:snapToGrid w:val="0"/>
        <w:ind w:firstLine="480"/>
        <w:rPr>
          <w:rFonts w:cs="宋体"/>
          <w:bCs/>
          <w:sz w:val="24"/>
        </w:rPr>
      </w:pPr>
      <w:r>
        <w:rPr>
          <w:rFonts w:hint="eastAsia" w:cs="宋体"/>
          <w:bCs/>
          <w:sz w:val="24"/>
        </w:rPr>
        <w:t>（4）按照规定要求召开基金份额持有人大会或者召集基金份额持有人大会；</w:t>
      </w:r>
    </w:p>
    <w:p>
      <w:pPr>
        <w:pStyle w:val="21"/>
        <w:adjustRightInd w:val="0"/>
        <w:snapToGrid w:val="0"/>
        <w:ind w:firstLine="480"/>
        <w:rPr>
          <w:rFonts w:cs="宋体"/>
          <w:bCs/>
          <w:sz w:val="24"/>
        </w:rPr>
      </w:pPr>
      <w:r>
        <w:rPr>
          <w:rFonts w:hint="eastAsia" w:cs="宋体"/>
          <w:bCs/>
          <w:sz w:val="24"/>
        </w:rPr>
        <w:t>（5）出席或者委派代表出席基金份额持有人大会，对基金份额持有人大会审议事项行使表决权；出席或者委派代表出席目标ETF基金份额持有人大会，对目标ETF基金份额持有人大会审议事项行使表决权。本基金参会份额和票数按权益登记日本基金所持有的目标ETF份额占本基金资产的比例折算；</w:t>
      </w:r>
    </w:p>
    <w:p>
      <w:pPr>
        <w:pStyle w:val="21"/>
        <w:adjustRightInd w:val="0"/>
        <w:snapToGrid w:val="0"/>
        <w:ind w:firstLine="480"/>
        <w:rPr>
          <w:rFonts w:cs="宋体"/>
          <w:bCs/>
          <w:sz w:val="24"/>
        </w:rPr>
      </w:pPr>
      <w:r>
        <w:rPr>
          <w:rFonts w:hint="eastAsia" w:cs="宋体"/>
          <w:bCs/>
          <w:sz w:val="24"/>
        </w:rPr>
        <w:t>（6）查阅或者复制公开披露的基金信息资料；</w:t>
      </w:r>
    </w:p>
    <w:p>
      <w:pPr>
        <w:pStyle w:val="21"/>
        <w:adjustRightInd w:val="0"/>
        <w:snapToGrid w:val="0"/>
        <w:ind w:firstLine="480"/>
        <w:rPr>
          <w:rFonts w:cs="宋体"/>
          <w:bCs/>
          <w:sz w:val="24"/>
        </w:rPr>
      </w:pPr>
      <w:r>
        <w:rPr>
          <w:rFonts w:hint="eastAsia" w:cs="宋体"/>
          <w:bCs/>
          <w:sz w:val="24"/>
        </w:rPr>
        <w:t>（7）监督基金管理人的投资运作；</w:t>
      </w:r>
    </w:p>
    <w:p>
      <w:pPr>
        <w:pStyle w:val="21"/>
        <w:adjustRightInd w:val="0"/>
        <w:snapToGrid w:val="0"/>
        <w:ind w:firstLine="480"/>
        <w:rPr>
          <w:rFonts w:cs="宋体"/>
          <w:bCs/>
          <w:sz w:val="24"/>
        </w:rPr>
      </w:pPr>
      <w:r>
        <w:rPr>
          <w:rFonts w:hint="eastAsia" w:cs="宋体"/>
          <w:bCs/>
          <w:sz w:val="24"/>
        </w:rPr>
        <w:t>（8）对基金管理人、基金托管人、基金服务机构损害其合法权益的行为依法提起诉讼或仲裁；</w:t>
      </w:r>
    </w:p>
    <w:p>
      <w:pPr>
        <w:pStyle w:val="21"/>
        <w:adjustRightInd w:val="0"/>
        <w:snapToGrid w:val="0"/>
        <w:ind w:firstLine="480"/>
        <w:rPr>
          <w:rFonts w:cs="宋体"/>
          <w:bCs/>
          <w:sz w:val="24"/>
        </w:rPr>
      </w:pPr>
      <w:r>
        <w:rPr>
          <w:rFonts w:hint="eastAsia" w:cs="宋体"/>
          <w:bCs/>
          <w:sz w:val="24"/>
        </w:rPr>
        <w:t>（9）法律法规及中国证监会规定的和《基金合同》约定的其他权利。</w:t>
      </w:r>
    </w:p>
    <w:p>
      <w:pPr>
        <w:pStyle w:val="21"/>
        <w:adjustRightInd w:val="0"/>
        <w:snapToGrid w:val="0"/>
        <w:ind w:firstLine="480"/>
        <w:rPr>
          <w:rFonts w:cs="宋体"/>
          <w:bCs/>
          <w:sz w:val="24"/>
        </w:rPr>
      </w:pPr>
      <w:r>
        <w:rPr>
          <w:rFonts w:hint="eastAsia" w:cs="宋体"/>
          <w:bCs/>
          <w:sz w:val="24"/>
        </w:rPr>
        <w:t>2、根据《基金法》、《运作办法》及其他有关规定，基金份额持有人的义务包括但不限于：</w:t>
      </w:r>
    </w:p>
    <w:p>
      <w:pPr>
        <w:pStyle w:val="21"/>
        <w:adjustRightInd w:val="0"/>
        <w:snapToGrid w:val="0"/>
        <w:ind w:firstLine="480"/>
        <w:rPr>
          <w:rFonts w:cs="宋体"/>
          <w:bCs/>
          <w:sz w:val="24"/>
        </w:rPr>
      </w:pPr>
      <w:r>
        <w:rPr>
          <w:rFonts w:hint="eastAsia" w:cs="宋体"/>
          <w:bCs/>
          <w:sz w:val="24"/>
        </w:rPr>
        <w:t>（1）认真阅读并遵守基金合同、招募说明书等信息披露文件；</w:t>
      </w:r>
    </w:p>
    <w:p>
      <w:pPr>
        <w:pStyle w:val="21"/>
        <w:adjustRightInd w:val="0"/>
        <w:snapToGrid w:val="0"/>
        <w:ind w:firstLine="480"/>
        <w:rPr>
          <w:rFonts w:cs="宋体"/>
          <w:bCs/>
          <w:sz w:val="24"/>
        </w:rPr>
      </w:pPr>
      <w:r>
        <w:rPr>
          <w:rFonts w:hint="eastAsia" w:cs="宋体"/>
          <w:bCs/>
          <w:sz w:val="24"/>
        </w:rPr>
        <w:t>（2）了解所投资基金产品，了解自身风险承受能力，自主判断基金的投资价值，自主做出投资决策，自行承担投资风险；</w:t>
      </w:r>
    </w:p>
    <w:p>
      <w:pPr>
        <w:pStyle w:val="21"/>
        <w:adjustRightInd w:val="0"/>
        <w:snapToGrid w:val="0"/>
        <w:ind w:firstLine="480"/>
        <w:rPr>
          <w:rFonts w:cs="宋体"/>
          <w:bCs/>
          <w:sz w:val="24"/>
        </w:rPr>
      </w:pPr>
      <w:r>
        <w:rPr>
          <w:rFonts w:hint="eastAsia" w:cs="宋体"/>
          <w:bCs/>
          <w:sz w:val="24"/>
        </w:rPr>
        <w:t>（3）关注基金信息披露，及时行使权利和履行义务；</w:t>
      </w:r>
    </w:p>
    <w:p>
      <w:pPr>
        <w:pStyle w:val="21"/>
        <w:adjustRightInd w:val="0"/>
        <w:snapToGrid w:val="0"/>
        <w:ind w:firstLine="480"/>
        <w:rPr>
          <w:rFonts w:cs="宋体"/>
          <w:bCs/>
          <w:sz w:val="24"/>
        </w:rPr>
      </w:pPr>
      <w:r>
        <w:rPr>
          <w:rFonts w:hint="eastAsia" w:cs="宋体"/>
          <w:bCs/>
          <w:sz w:val="24"/>
        </w:rPr>
        <w:t>（4）交纳基金认购、申购款项及法律法规和基金合同所规定的费用；</w:t>
      </w:r>
    </w:p>
    <w:p>
      <w:pPr>
        <w:pStyle w:val="21"/>
        <w:adjustRightInd w:val="0"/>
        <w:snapToGrid w:val="0"/>
        <w:ind w:firstLine="480"/>
        <w:rPr>
          <w:rFonts w:cs="宋体"/>
          <w:bCs/>
          <w:sz w:val="24"/>
        </w:rPr>
      </w:pPr>
      <w:r>
        <w:rPr>
          <w:rFonts w:hint="eastAsia" w:cs="宋体"/>
          <w:bCs/>
          <w:sz w:val="24"/>
        </w:rPr>
        <w:t>（5）在其持有的基金份额范围内，承担基金亏损或者基金合同终止的有限责任；</w:t>
      </w:r>
    </w:p>
    <w:p>
      <w:pPr>
        <w:pStyle w:val="21"/>
        <w:adjustRightInd w:val="0"/>
        <w:snapToGrid w:val="0"/>
        <w:ind w:firstLine="480"/>
        <w:rPr>
          <w:rFonts w:cs="宋体"/>
          <w:bCs/>
          <w:sz w:val="24"/>
        </w:rPr>
      </w:pPr>
      <w:r>
        <w:rPr>
          <w:rFonts w:hint="eastAsia" w:cs="宋体"/>
          <w:bCs/>
          <w:sz w:val="24"/>
        </w:rPr>
        <w:t>（6）不从事任何有损基金及其他《基金合同》当事人合法权益的活动；</w:t>
      </w:r>
    </w:p>
    <w:p>
      <w:pPr>
        <w:pStyle w:val="21"/>
        <w:adjustRightInd w:val="0"/>
        <w:snapToGrid w:val="0"/>
        <w:ind w:firstLine="480"/>
        <w:rPr>
          <w:rFonts w:cs="宋体"/>
          <w:bCs/>
          <w:sz w:val="24"/>
        </w:rPr>
      </w:pPr>
      <w:r>
        <w:rPr>
          <w:rFonts w:hint="eastAsia" w:cs="宋体"/>
          <w:bCs/>
          <w:sz w:val="24"/>
        </w:rPr>
        <w:t>（7）执行生效的基金份额持有人大会的决议；</w:t>
      </w:r>
    </w:p>
    <w:p>
      <w:pPr>
        <w:pStyle w:val="21"/>
        <w:adjustRightInd w:val="0"/>
        <w:snapToGrid w:val="0"/>
        <w:ind w:firstLine="480"/>
        <w:rPr>
          <w:rFonts w:cs="宋体"/>
          <w:bCs/>
          <w:sz w:val="24"/>
        </w:rPr>
      </w:pPr>
      <w:r>
        <w:rPr>
          <w:rFonts w:hint="eastAsia" w:cs="宋体"/>
          <w:bCs/>
          <w:sz w:val="24"/>
        </w:rPr>
        <w:t>（8）返还在基金交易过程中因任何原因获得的不当得利；</w:t>
      </w:r>
    </w:p>
    <w:p>
      <w:pPr>
        <w:pStyle w:val="21"/>
        <w:adjustRightInd w:val="0"/>
        <w:snapToGrid w:val="0"/>
        <w:ind w:firstLine="480"/>
        <w:rPr>
          <w:rFonts w:cs="宋体"/>
          <w:bCs/>
          <w:sz w:val="24"/>
        </w:rPr>
      </w:pPr>
      <w:r>
        <w:rPr>
          <w:rFonts w:hint="eastAsia" w:cs="宋体"/>
          <w:bCs/>
          <w:sz w:val="24"/>
        </w:rPr>
        <w:t>（9）向基金管理人和监管机构提供依法要求提供的信息，以及不时的更新和补充，并保证其真实性；</w:t>
      </w:r>
    </w:p>
    <w:p>
      <w:pPr>
        <w:pStyle w:val="21"/>
        <w:adjustRightInd w:val="0"/>
        <w:snapToGrid w:val="0"/>
        <w:ind w:firstLine="480"/>
        <w:rPr>
          <w:rFonts w:cs="宋体"/>
          <w:bCs/>
          <w:sz w:val="24"/>
        </w:rPr>
      </w:pPr>
      <w:r>
        <w:rPr>
          <w:rFonts w:hint="eastAsia" w:cs="宋体"/>
          <w:bCs/>
          <w:sz w:val="24"/>
        </w:rPr>
        <w:t>（10）遵守基金管理人、基金托管人、销售机构和登记机构的相关交易及业务规则；</w:t>
      </w:r>
    </w:p>
    <w:p>
      <w:pPr>
        <w:pStyle w:val="21"/>
        <w:adjustRightInd w:val="0"/>
        <w:snapToGrid w:val="0"/>
        <w:ind w:firstLine="480"/>
        <w:rPr>
          <w:rFonts w:cs="宋体"/>
          <w:bCs/>
          <w:sz w:val="24"/>
        </w:rPr>
      </w:pPr>
      <w:r>
        <w:rPr>
          <w:rFonts w:hint="eastAsia" w:cs="宋体"/>
          <w:bCs/>
          <w:sz w:val="24"/>
        </w:rPr>
        <w:t>（11）遵守中华人民共和国反洗钱法律法规，配合基金管理人、基金托管人履行反洗钱职责；</w:t>
      </w:r>
    </w:p>
    <w:p>
      <w:pPr>
        <w:pStyle w:val="21"/>
        <w:adjustRightInd w:val="0"/>
        <w:snapToGrid w:val="0"/>
        <w:ind w:firstLine="480"/>
        <w:rPr>
          <w:rFonts w:cs="宋体"/>
          <w:bCs/>
          <w:sz w:val="24"/>
        </w:rPr>
      </w:pPr>
      <w:r>
        <w:rPr>
          <w:rFonts w:hint="eastAsia" w:cs="宋体"/>
          <w:bCs/>
          <w:sz w:val="24"/>
        </w:rPr>
        <w:t>（12）法律法规及中国证监会规定的和基金合同约定的其他义务。</w:t>
      </w:r>
    </w:p>
    <w:p>
      <w:pPr>
        <w:pStyle w:val="21"/>
        <w:adjustRightInd w:val="0"/>
        <w:snapToGrid w:val="0"/>
        <w:ind w:firstLine="480"/>
        <w:rPr>
          <w:rFonts w:cs="宋体"/>
          <w:bCs/>
          <w:sz w:val="24"/>
        </w:rPr>
      </w:pPr>
      <w:r>
        <w:rPr>
          <w:rFonts w:hint="eastAsia" w:cs="宋体"/>
          <w:bCs/>
          <w:sz w:val="24"/>
        </w:rPr>
        <w:t>二、基金份额持有人大会召集、议事及表决的程序和规则</w:t>
      </w:r>
    </w:p>
    <w:p>
      <w:pPr>
        <w:pStyle w:val="21"/>
        <w:adjustRightInd w:val="0"/>
        <w:snapToGrid w:val="0"/>
        <w:ind w:firstLine="480"/>
        <w:rPr>
          <w:rFonts w:cs="宋体"/>
          <w:bCs/>
          <w:sz w:val="24"/>
        </w:rPr>
      </w:pPr>
      <w:r>
        <w:rPr>
          <w:rFonts w:hint="eastAsia" w:cs="宋体"/>
          <w:bCs/>
          <w:sz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pPr>
        <w:pStyle w:val="21"/>
        <w:adjustRightInd w:val="0"/>
        <w:snapToGrid w:val="0"/>
        <w:ind w:firstLine="480"/>
        <w:rPr>
          <w:rFonts w:cs="宋体"/>
          <w:bCs/>
          <w:sz w:val="24"/>
        </w:rPr>
      </w:pPr>
      <w:r>
        <w:rPr>
          <w:rFonts w:hint="eastAsia" w:cs="宋体"/>
          <w:bCs/>
          <w:sz w:val="24"/>
        </w:rPr>
        <w:t>鉴于本基金是目标ETF的联接基金，本基金的基金份额持有人可以凭所持有的本基金基金份额直接出席或者委派代表出席目标ETF基金份额持有人大会并参与表决。在计算参会份额和票数时，本基金的基金份额持有人持有的享有表决权的参会份额数和表决票数为：在目标ETF基金份额持有人大会的权益登记日，本基金持有目标ETF基金份额的总数乘以该基金份额持有人所持有的本基金基金份额占本基金总份额的比例，计算结果按照四舍五入的方法，保留到整数位。本基金基金份额折算为目标ETF后的每一参会份额和目标ETF的每一参会份额拥有平等的投票权。</w:t>
      </w:r>
    </w:p>
    <w:p>
      <w:pPr>
        <w:pStyle w:val="21"/>
        <w:adjustRightInd w:val="0"/>
        <w:snapToGrid w:val="0"/>
        <w:ind w:firstLine="480"/>
        <w:rPr>
          <w:rFonts w:cs="宋体"/>
          <w:bCs/>
          <w:sz w:val="24"/>
        </w:rPr>
      </w:pPr>
      <w:r>
        <w:rPr>
          <w:rFonts w:hint="eastAsia" w:cs="宋体"/>
          <w:bCs/>
          <w:sz w:val="24"/>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pPr>
        <w:pStyle w:val="21"/>
        <w:adjustRightInd w:val="0"/>
        <w:snapToGrid w:val="0"/>
        <w:ind w:firstLine="480"/>
        <w:rPr>
          <w:rFonts w:cs="宋体"/>
          <w:bCs/>
          <w:sz w:val="24"/>
        </w:rPr>
      </w:pPr>
      <w:r>
        <w:rPr>
          <w:rFonts w:hint="eastAsia" w:cs="宋体"/>
          <w:bCs/>
          <w:sz w:val="24"/>
        </w:rPr>
        <w:t>本基金的基金管理人代表本基金的基金份额持有人提议召开或召集目标ETF基金份额持有人大会的，须先遵照本基金《基金合同》的约定召开本基金的基金份额持有人大会，本基金的基金份额持有人大会决定提议召开或召集目标ETF基金份额持有人大会的，由本基金基金管理人代表本基金的基金份额持有人提议召开或召集目标ETF基金份额持有人大会。</w:t>
      </w:r>
    </w:p>
    <w:p>
      <w:pPr>
        <w:pStyle w:val="21"/>
        <w:adjustRightInd w:val="0"/>
        <w:snapToGrid w:val="0"/>
        <w:ind w:firstLine="480"/>
        <w:rPr>
          <w:rFonts w:cs="宋体"/>
          <w:bCs/>
          <w:sz w:val="24"/>
        </w:rPr>
      </w:pPr>
      <w:r>
        <w:rPr>
          <w:rFonts w:hint="eastAsia" w:cs="宋体"/>
          <w:bCs/>
          <w:sz w:val="24"/>
        </w:rPr>
        <w:t>本基金基金份额持有人大会不设日常机构。</w:t>
      </w:r>
    </w:p>
    <w:p>
      <w:pPr>
        <w:pStyle w:val="21"/>
        <w:adjustRightInd w:val="0"/>
        <w:snapToGrid w:val="0"/>
        <w:ind w:firstLine="480"/>
        <w:rPr>
          <w:rFonts w:cs="宋体"/>
          <w:bCs/>
          <w:sz w:val="24"/>
        </w:rPr>
      </w:pPr>
      <w:r>
        <w:rPr>
          <w:rFonts w:hint="eastAsia" w:cs="宋体"/>
          <w:bCs/>
          <w:sz w:val="24"/>
        </w:rPr>
        <w:t>若将来法律法规对基金份额持有人大会另有规定的，以届时有效的法律法规为准。</w:t>
      </w:r>
    </w:p>
    <w:p>
      <w:pPr>
        <w:pStyle w:val="21"/>
        <w:adjustRightInd w:val="0"/>
        <w:snapToGrid w:val="0"/>
        <w:ind w:firstLine="480"/>
        <w:rPr>
          <w:rFonts w:cs="宋体"/>
          <w:bCs/>
          <w:sz w:val="24"/>
        </w:rPr>
      </w:pPr>
      <w:r>
        <w:rPr>
          <w:rFonts w:hint="eastAsia" w:cs="宋体"/>
          <w:bCs/>
          <w:sz w:val="24"/>
        </w:rPr>
        <w:t>（一）召开事由</w:t>
      </w:r>
    </w:p>
    <w:p>
      <w:pPr>
        <w:pStyle w:val="21"/>
        <w:adjustRightInd w:val="0"/>
        <w:snapToGrid w:val="0"/>
        <w:ind w:firstLine="480"/>
        <w:rPr>
          <w:rFonts w:cs="宋体"/>
          <w:bCs/>
          <w:sz w:val="24"/>
        </w:rPr>
      </w:pPr>
      <w:r>
        <w:rPr>
          <w:rFonts w:hint="eastAsia" w:cs="宋体"/>
          <w:bCs/>
          <w:sz w:val="24"/>
        </w:rPr>
        <w:t>1、除法律法规、中国证监会另有规定或基金合同另有约定外，当出现或需要决定下列事由之一的，应当召开基金份额持有人大会：</w:t>
      </w:r>
    </w:p>
    <w:p>
      <w:pPr>
        <w:pStyle w:val="21"/>
        <w:adjustRightInd w:val="0"/>
        <w:snapToGrid w:val="0"/>
        <w:ind w:firstLine="480"/>
        <w:rPr>
          <w:rFonts w:cs="宋体"/>
          <w:bCs/>
          <w:sz w:val="24"/>
        </w:rPr>
      </w:pPr>
      <w:r>
        <w:rPr>
          <w:rFonts w:hint="eastAsia" w:cs="宋体"/>
          <w:bCs/>
          <w:sz w:val="24"/>
        </w:rPr>
        <w:t>（1）终止基金合同；</w:t>
      </w:r>
    </w:p>
    <w:p>
      <w:pPr>
        <w:pStyle w:val="21"/>
        <w:adjustRightInd w:val="0"/>
        <w:snapToGrid w:val="0"/>
        <w:ind w:firstLine="480"/>
        <w:rPr>
          <w:rFonts w:cs="宋体"/>
          <w:bCs/>
          <w:sz w:val="24"/>
        </w:rPr>
      </w:pPr>
      <w:r>
        <w:rPr>
          <w:rFonts w:hint="eastAsia" w:cs="宋体"/>
          <w:bCs/>
          <w:sz w:val="24"/>
        </w:rPr>
        <w:t>（2）更换基金管理人；</w:t>
      </w:r>
    </w:p>
    <w:p>
      <w:pPr>
        <w:pStyle w:val="21"/>
        <w:adjustRightInd w:val="0"/>
        <w:snapToGrid w:val="0"/>
        <w:ind w:firstLine="480"/>
        <w:rPr>
          <w:rFonts w:cs="宋体"/>
          <w:bCs/>
          <w:sz w:val="24"/>
        </w:rPr>
      </w:pPr>
      <w:r>
        <w:rPr>
          <w:rFonts w:hint="eastAsia" w:cs="宋体"/>
          <w:bCs/>
          <w:sz w:val="24"/>
        </w:rPr>
        <w:t>（3）更换基金托管人；</w:t>
      </w:r>
    </w:p>
    <w:p>
      <w:pPr>
        <w:pStyle w:val="21"/>
        <w:adjustRightInd w:val="0"/>
        <w:snapToGrid w:val="0"/>
        <w:ind w:firstLine="480"/>
        <w:rPr>
          <w:rFonts w:cs="宋体"/>
          <w:bCs/>
          <w:sz w:val="24"/>
        </w:rPr>
      </w:pPr>
      <w:r>
        <w:rPr>
          <w:rFonts w:hint="eastAsia" w:cs="宋体"/>
          <w:bCs/>
          <w:sz w:val="24"/>
        </w:rPr>
        <w:t>（4）转换基金运作方式；</w:t>
      </w:r>
    </w:p>
    <w:p>
      <w:pPr>
        <w:pStyle w:val="21"/>
        <w:adjustRightInd w:val="0"/>
        <w:snapToGrid w:val="0"/>
        <w:ind w:firstLine="480"/>
        <w:rPr>
          <w:rFonts w:cs="宋体"/>
          <w:bCs/>
          <w:sz w:val="24"/>
        </w:rPr>
      </w:pPr>
      <w:r>
        <w:rPr>
          <w:rFonts w:hint="eastAsia" w:cs="宋体"/>
          <w:bCs/>
          <w:sz w:val="24"/>
        </w:rPr>
        <w:t>（5）调整基金管理人、基金托管人的报酬标准或调高销售服务费率；</w:t>
      </w:r>
    </w:p>
    <w:p>
      <w:pPr>
        <w:pStyle w:val="21"/>
        <w:adjustRightInd w:val="0"/>
        <w:snapToGrid w:val="0"/>
        <w:ind w:firstLine="480"/>
        <w:rPr>
          <w:rFonts w:cs="宋体"/>
          <w:bCs/>
          <w:sz w:val="24"/>
        </w:rPr>
      </w:pPr>
      <w:r>
        <w:rPr>
          <w:rFonts w:hint="eastAsia" w:cs="宋体"/>
          <w:bCs/>
          <w:sz w:val="24"/>
        </w:rPr>
        <w:t>（6）变更基金类别；</w:t>
      </w:r>
    </w:p>
    <w:p>
      <w:pPr>
        <w:pStyle w:val="21"/>
        <w:adjustRightInd w:val="0"/>
        <w:snapToGrid w:val="0"/>
        <w:ind w:firstLine="480"/>
        <w:rPr>
          <w:rFonts w:cs="宋体"/>
          <w:bCs/>
          <w:sz w:val="24"/>
        </w:rPr>
      </w:pPr>
      <w:r>
        <w:rPr>
          <w:rFonts w:hint="eastAsia" w:cs="宋体"/>
          <w:bCs/>
          <w:sz w:val="24"/>
        </w:rPr>
        <w:t>（7）本基金与其他基金的合并；</w:t>
      </w:r>
    </w:p>
    <w:p>
      <w:pPr>
        <w:pStyle w:val="21"/>
        <w:adjustRightInd w:val="0"/>
        <w:snapToGrid w:val="0"/>
        <w:ind w:firstLine="480"/>
        <w:rPr>
          <w:rFonts w:cs="宋体"/>
          <w:bCs/>
          <w:sz w:val="24"/>
        </w:rPr>
      </w:pPr>
      <w:r>
        <w:rPr>
          <w:rFonts w:hint="eastAsia" w:cs="宋体"/>
          <w:bCs/>
          <w:sz w:val="24"/>
        </w:rPr>
        <w:t>（8）变更基金投资目标、范围或策略；</w:t>
      </w:r>
    </w:p>
    <w:p>
      <w:pPr>
        <w:pStyle w:val="21"/>
        <w:adjustRightInd w:val="0"/>
        <w:snapToGrid w:val="0"/>
        <w:ind w:firstLine="480"/>
        <w:rPr>
          <w:rFonts w:cs="宋体"/>
          <w:bCs/>
          <w:sz w:val="24"/>
        </w:rPr>
      </w:pPr>
      <w:r>
        <w:rPr>
          <w:rFonts w:hint="eastAsia" w:cs="宋体"/>
          <w:bCs/>
          <w:sz w:val="24"/>
        </w:rPr>
        <w:t>（9）变更基金份额持有人大会程序；</w:t>
      </w:r>
    </w:p>
    <w:p>
      <w:pPr>
        <w:pStyle w:val="21"/>
        <w:adjustRightInd w:val="0"/>
        <w:snapToGrid w:val="0"/>
        <w:ind w:firstLine="480"/>
        <w:rPr>
          <w:rFonts w:cs="宋体"/>
          <w:bCs/>
          <w:sz w:val="24"/>
        </w:rPr>
      </w:pPr>
      <w:r>
        <w:rPr>
          <w:rFonts w:hint="eastAsia" w:cs="宋体"/>
          <w:bCs/>
          <w:sz w:val="24"/>
        </w:rPr>
        <w:t>（10）基金管理人或基金托管人要求召开基金份额持有人大会；</w:t>
      </w:r>
    </w:p>
    <w:p>
      <w:pPr>
        <w:pStyle w:val="21"/>
        <w:adjustRightInd w:val="0"/>
        <w:snapToGrid w:val="0"/>
        <w:ind w:firstLine="480"/>
        <w:rPr>
          <w:rFonts w:cs="宋体"/>
          <w:bCs/>
          <w:sz w:val="24"/>
        </w:rPr>
      </w:pPr>
      <w:r>
        <w:rPr>
          <w:rFonts w:hint="eastAsia" w:cs="宋体"/>
          <w:bCs/>
          <w:sz w:val="24"/>
        </w:rPr>
        <w:t>（11）单独或合计持有本基金总份额10%以上（含10%）基金份额的基金份额持有人（以基金管理人收到提议当日的基金份额计算，下同）就同一事项书面要求召开基金份额持有人大会；</w:t>
      </w:r>
    </w:p>
    <w:p>
      <w:pPr>
        <w:pStyle w:val="21"/>
        <w:adjustRightInd w:val="0"/>
        <w:snapToGrid w:val="0"/>
        <w:ind w:firstLine="480"/>
        <w:rPr>
          <w:rFonts w:cs="宋体"/>
          <w:bCs/>
          <w:sz w:val="24"/>
        </w:rPr>
      </w:pPr>
      <w:r>
        <w:rPr>
          <w:rFonts w:hint="eastAsia" w:cs="宋体"/>
          <w:bCs/>
          <w:sz w:val="24"/>
        </w:rPr>
        <w:t>（12）对基金合同当事人权利和义务产生重大影响的其他事项；</w:t>
      </w:r>
    </w:p>
    <w:p>
      <w:pPr>
        <w:pStyle w:val="21"/>
        <w:adjustRightInd w:val="0"/>
        <w:snapToGrid w:val="0"/>
        <w:ind w:firstLine="480"/>
        <w:rPr>
          <w:rFonts w:cs="宋体"/>
          <w:bCs/>
          <w:sz w:val="24"/>
        </w:rPr>
      </w:pPr>
      <w:r>
        <w:rPr>
          <w:rFonts w:hint="eastAsia" w:cs="宋体"/>
          <w:bCs/>
          <w:sz w:val="24"/>
        </w:rPr>
        <w:t>（13）基金管理人代表本基金的基金份额持有人提议召开或召集目标ETF基金份额持有人大会；</w:t>
      </w:r>
    </w:p>
    <w:p>
      <w:pPr>
        <w:pStyle w:val="21"/>
        <w:adjustRightInd w:val="0"/>
        <w:snapToGrid w:val="0"/>
        <w:ind w:firstLine="480"/>
        <w:rPr>
          <w:rFonts w:cs="宋体"/>
          <w:bCs/>
          <w:sz w:val="24"/>
        </w:rPr>
      </w:pPr>
      <w:r>
        <w:rPr>
          <w:rFonts w:hint="eastAsia" w:cs="宋体"/>
          <w:bCs/>
          <w:sz w:val="24"/>
        </w:rPr>
        <w:t>（14）法律法规、基金合同或中国证监会规定的其他应当召开基金份额持有人大会的事项。</w:t>
      </w:r>
    </w:p>
    <w:p>
      <w:pPr>
        <w:pStyle w:val="21"/>
        <w:adjustRightInd w:val="0"/>
        <w:snapToGrid w:val="0"/>
        <w:ind w:firstLine="480"/>
        <w:rPr>
          <w:rFonts w:cs="宋体"/>
          <w:bCs/>
          <w:sz w:val="24"/>
        </w:rPr>
      </w:pPr>
      <w:r>
        <w:rPr>
          <w:rFonts w:hint="eastAsia" w:cs="宋体"/>
          <w:bCs/>
          <w:sz w:val="24"/>
        </w:rPr>
        <w:t>2、在法律法规规定和基金合同约定的范围内且对基金份额持有人利益无实质性不利影响的前提下，以下情况可由基金管理人和基金托管人协商后修改，不需召开基金份额持有人大会：</w:t>
      </w:r>
    </w:p>
    <w:p>
      <w:pPr>
        <w:pStyle w:val="21"/>
        <w:adjustRightInd w:val="0"/>
        <w:snapToGrid w:val="0"/>
        <w:ind w:firstLine="480"/>
        <w:rPr>
          <w:rFonts w:cs="宋体"/>
          <w:bCs/>
          <w:sz w:val="24"/>
        </w:rPr>
      </w:pPr>
      <w:r>
        <w:rPr>
          <w:rFonts w:hint="eastAsia" w:cs="宋体"/>
          <w:bCs/>
          <w:sz w:val="24"/>
        </w:rPr>
        <w:t>（1）法律法规要求增加的基金费用的收取；</w:t>
      </w:r>
    </w:p>
    <w:p>
      <w:pPr>
        <w:pStyle w:val="21"/>
        <w:adjustRightInd w:val="0"/>
        <w:snapToGrid w:val="0"/>
        <w:ind w:firstLine="480"/>
        <w:rPr>
          <w:rFonts w:cs="宋体"/>
          <w:bCs/>
          <w:sz w:val="24"/>
        </w:rPr>
      </w:pPr>
      <w:r>
        <w:rPr>
          <w:rFonts w:hint="eastAsia" w:cs="宋体"/>
          <w:bCs/>
          <w:sz w:val="24"/>
        </w:rPr>
        <w:t>（2）调整本基金的申购费率，调低赎回费率、调低销售服务费率，或变更收费方式、调整基金份额类别设置；</w:t>
      </w:r>
    </w:p>
    <w:p>
      <w:pPr>
        <w:pStyle w:val="21"/>
        <w:adjustRightInd w:val="0"/>
        <w:snapToGrid w:val="0"/>
        <w:ind w:firstLine="480"/>
        <w:rPr>
          <w:rFonts w:cs="宋体"/>
          <w:bCs/>
          <w:sz w:val="24"/>
        </w:rPr>
      </w:pPr>
      <w:r>
        <w:rPr>
          <w:rFonts w:hint="eastAsia" w:cs="宋体"/>
          <w:bCs/>
          <w:sz w:val="24"/>
        </w:rPr>
        <w:t>（3）因相应的法律法规发生变动而应当对基金合同进行修改；</w:t>
      </w:r>
    </w:p>
    <w:p>
      <w:pPr>
        <w:pStyle w:val="21"/>
        <w:adjustRightInd w:val="0"/>
        <w:snapToGrid w:val="0"/>
        <w:ind w:firstLine="480"/>
        <w:rPr>
          <w:rFonts w:cs="宋体"/>
          <w:bCs/>
          <w:sz w:val="24"/>
        </w:rPr>
      </w:pPr>
      <w:r>
        <w:rPr>
          <w:rFonts w:hint="eastAsia" w:cs="宋体"/>
          <w:bCs/>
          <w:sz w:val="24"/>
        </w:rPr>
        <w:t>（4）对基金合同的修改对基金份额持有人利益无实质性不利影响或修改不涉及基金合同当事人权利义务关系发生重大变化；</w:t>
      </w:r>
    </w:p>
    <w:p>
      <w:pPr>
        <w:pStyle w:val="21"/>
        <w:adjustRightInd w:val="0"/>
        <w:snapToGrid w:val="0"/>
        <w:ind w:firstLine="480"/>
        <w:rPr>
          <w:rFonts w:cs="宋体"/>
          <w:bCs/>
          <w:sz w:val="24"/>
        </w:rPr>
      </w:pPr>
      <w:r>
        <w:rPr>
          <w:rFonts w:hint="eastAsia" w:cs="宋体"/>
          <w:bCs/>
          <w:sz w:val="24"/>
        </w:rPr>
        <w:t>（5）基金推出新业务或服务；</w:t>
      </w:r>
    </w:p>
    <w:p>
      <w:pPr>
        <w:pStyle w:val="21"/>
        <w:adjustRightInd w:val="0"/>
        <w:snapToGrid w:val="0"/>
        <w:ind w:firstLine="480"/>
        <w:rPr>
          <w:rFonts w:cs="宋体"/>
          <w:bCs/>
          <w:sz w:val="24"/>
        </w:rPr>
      </w:pPr>
      <w:r>
        <w:rPr>
          <w:rFonts w:hint="eastAsia" w:cs="宋体"/>
          <w:bCs/>
          <w:sz w:val="24"/>
        </w:rPr>
        <w:t>（6）基金管理人、登记机构、基金销售机构调整有关基金认购、申购、赎回、转换、非交易过户、转托管等业务的规则；</w:t>
      </w:r>
    </w:p>
    <w:p>
      <w:pPr>
        <w:pStyle w:val="21"/>
        <w:adjustRightInd w:val="0"/>
        <w:snapToGrid w:val="0"/>
        <w:ind w:firstLine="480"/>
        <w:rPr>
          <w:rFonts w:cs="宋体"/>
          <w:bCs/>
          <w:sz w:val="24"/>
        </w:rPr>
      </w:pPr>
      <w:r>
        <w:rPr>
          <w:rFonts w:hint="eastAsia" w:cs="宋体"/>
          <w:bCs/>
          <w:sz w:val="24"/>
        </w:rPr>
        <w:t>（7）调整基金收益的分配原则和支付方式；</w:t>
      </w:r>
    </w:p>
    <w:p>
      <w:pPr>
        <w:pStyle w:val="21"/>
        <w:adjustRightInd w:val="0"/>
        <w:snapToGrid w:val="0"/>
        <w:ind w:firstLine="480"/>
        <w:rPr>
          <w:rFonts w:cs="宋体"/>
          <w:bCs/>
          <w:sz w:val="24"/>
        </w:rPr>
      </w:pPr>
      <w:r>
        <w:rPr>
          <w:rFonts w:hint="eastAsia" w:cs="宋体"/>
          <w:bCs/>
          <w:sz w:val="24"/>
        </w:rPr>
        <w:t>（8）本基金采取特殊申购的方式参与目标ETF的申购赎回；</w:t>
      </w:r>
    </w:p>
    <w:p>
      <w:pPr>
        <w:pStyle w:val="21"/>
        <w:adjustRightInd w:val="0"/>
        <w:snapToGrid w:val="0"/>
        <w:ind w:firstLine="480"/>
        <w:rPr>
          <w:rFonts w:cs="宋体"/>
          <w:bCs/>
          <w:sz w:val="24"/>
        </w:rPr>
      </w:pPr>
      <w:r>
        <w:rPr>
          <w:rFonts w:hint="eastAsia" w:cs="宋体"/>
          <w:bCs/>
          <w:sz w:val="24"/>
        </w:rPr>
        <w:t>（9）由于目标ETF交易方式变更、终止上市或目标ETF基金合同终止而变更本基金投资目标、范围或策略；</w:t>
      </w:r>
    </w:p>
    <w:p>
      <w:pPr>
        <w:pStyle w:val="21"/>
        <w:adjustRightInd w:val="0"/>
        <w:snapToGrid w:val="0"/>
        <w:ind w:firstLine="480"/>
        <w:rPr>
          <w:rFonts w:cs="宋体"/>
          <w:bCs/>
          <w:sz w:val="24"/>
        </w:rPr>
      </w:pPr>
      <w:r>
        <w:rPr>
          <w:rFonts w:hint="eastAsia" w:cs="宋体"/>
          <w:bCs/>
          <w:sz w:val="24"/>
        </w:rPr>
        <w:t>（10）按照法律法规和基金合同规定不需召开基金份额持有人大会的其他情形。</w:t>
      </w:r>
    </w:p>
    <w:p>
      <w:pPr>
        <w:pStyle w:val="21"/>
        <w:adjustRightInd w:val="0"/>
        <w:snapToGrid w:val="0"/>
        <w:ind w:firstLine="480"/>
        <w:rPr>
          <w:rFonts w:cs="宋体"/>
          <w:bCs/>
          <w:sz w:val="24"/>
        </w:rPr>
      </w:pPr>
      <w:r>
        <w:rPr>
          <w:rFonts w:hint="eastAsia" w:cs="宋体"/>
          <w:bCs/>
          <w:sz w:val="24"/>
        </w:rPr>
        <w:t>（二）会议召集人及召集方式</w:t>
      </w:r>
    </w:p>
    <w:p>
      <w:pPr>
        <w:pStyle w:val="21"/>
        <w:adjustRightInd w:val="0"/>
        <w:snapToGrid w:val="0"/>
        <w:ind w:firstLine="480"/>
        <w:rPr>
          <w:rFonts w:cs="宋体"/>
          <w:bCs/>
          <w:sz w:val="24"/>
        </w:rPr>
      </w:pPr>
      <w:r>
        <w:rPr>
          <w:rFonts w:hint="eastAsia" w:cs="宋体"/>
          <w:bCs/>
          <w:sz w:val="24"/>
        </w:rPr>
        <w:t>1、除法律法规规定或基金合同另有约定外，基金份额持有人大会由基金管理人召集。</w:t>
      </w:r>
    </w:p>
    <w:p>
      <w:pPr>
        <w:pStyle w:val="21"/>
        <w:adjustRightInd w:val="0"/>
        <w:snapToGrid w:val="0"/>
        <w:ind w:firstLine="480"/>
        <w:rPr>
          <w:rFonts w:cs="宋体"/>
          <w:bCs/>
          <w:sz w:val="24"/>
        </w:rPr>
      </w:pPr>
      <w:r>
        <w:rPr>
          <w:rFonts w:hint="eastAsia" w:cs="宋体"/>
          <w:bCs/>
          <w:sz w:val="24"/>
        </w:rPr>
        <w:t>2、基金管理人未按规定召集或不能召开时，由基金托管人召集。</w:t>
      </w:r>
    </w:p>
    <w:p>
      <w:pPr>
        <w:pStyle w:val="21"/>
        <w:adjustRightInd w:val="0"/>
        <w:snapToGrid w:val="0"/>
        <w:ind w:firstLine="480"/>
        <w:rPr>
          <w:rFonts w:cs="宋体"/>
          <w:bCs/>
          <w:sz w:val="24"/>
        </w:rPr>
      </w:pPr>
      <w:r>
        <w:rPr>
          <w:rFonts w:hint="eastAsia" w:cs="宋体"/>
          <w:bCs/>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pStyle w:val="21"/>
        <w:adjustRightInd w:val="0"/>
        <w:snapToGrid w:val="0"/>
        <w:ind w:firstLine="480"/>
        <w:rPr>
          <w:rFonts w:cs="宋体"/>
          <w:bCs/>
          <w:sz w:val="24"/>
        </w:rPr>
      </w:pPr>
      <w:r>
        <w:rPr>
          <w:rFonts w:hint="eastAsia" w:cs="宋体"/>
          <w:bCs/>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pStyle w:val="21"/>
        <w:adjustRightInd w:val="0"/>
        <w:snapToGrid w:val="0"/>
        <w:ind w:firstLine="480"/>
        <w:rPr>
          <w:rFonts w:cs="宋体"/>
          <w:bCs/>
          <w:sz w:val="24"/>
        </w:rPr>
      </w:pPr>
      <w:r>
        <w:rPr>
          <w:rFonts w:hint="eastAsia" w:cs="宋体"/>
          <w:bCs/>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pStyle w:val="21"/>
        <w:adjustRightInd w:val="0"/>
        <w:snapToGrid w:val="0"/>
        <w:ind w:firstLine="480"/>
        <w:rPr>
          <w:rFonts w:cs="宋体"/>
          <w:bCs/>
          <w:sz w:val="24"/>
        </w:rPr>
      </w:pPr>
      <w:r>
        <w:rPr>
          <w:rFonts w:hint="eastAsia" w:cs="宋体"/>
          <w:bCs/>
          <w:sz w:val="24"/>
        </w:rPr>
        <w:t>6、基金份额持有人会议的召集人负责选择确定开会时间、地点、方式和权益登记日。</w:t>
      </w:r>
    </w:p>
    <w:p>
      <w:pPr>
        <w:pStyle w:val="21"/>
        <w:adjustRightInd w:val="0"/>
        <w:snapToGrid w:val="0"/>
        <w:ind w:firstLine="480"/>
        <w:rPr>
          <w:rFonts w:cs="宋体"/>
          <w:bCs/>
          <w:sz w:val="24"/>
        </w:rPr>
      </w:pPr>
      <w:r>
        <w:rPr>
          <w:rFonts w:hint="eastAsia" w:cs="宋体"/>
          <w:bCs/>
          <w:sz w:val="24"/>
        </w:rPr>
        <w:t>（三）召开基金份额持有人大会的通知时间、通知内容、通知方式</w:t>
      </w:r>
    </w:p>
    <w:p>
      <w:pPr>
        <w:pStyle w:val="21"/>
        <w:adjustRightInd w:val="0"/>
        <w:snapToGrid w:val="0"/>
        <w:ind w:firstLine="480"/>
        <w:rPr>
          <w:rFonts w:cs="宋体"/>
          <w:bCs/>
          <w:sz w:val="24"/>
        </w:rPr>
      </w:pPr>
      <w:r>
        <w:rPr>
          <w:rFonts w:hint="eastAsia" w:cs="宋体"/>
          <w:bCs/>
          <w:sz w:val="24"/>
        </w:rPr>
        <w:t>1、召开基金份额持有人大会，召集人应于会议召开前30日，在规定媒介公告。基金份额持有人大会通知应至少载明以下内容：</w:t>
      </w:r>
    </w:p>
    <w:p>
      <w:pPr>
        <w:pStyle w:val="21"/>
        <w:adjustRightInd w:val="0"/>
        <w:snapToGrid w:val="0"/>
        <w:ind w:firstLine="480"/>
        <w:rPr>
          <w:rFonts w:cs="宋体"/>
          <w:bCs/>
          <w:sz w:val="24"/>
        </w:rPr>
      </w:pPr>
      <w:r>
        <w:rPr>
          <w:rFonts w:hint="eastAsia" w:cs="宋体"/>
          <w:bCs/>
          <w:sz w:val="24"/>
        </w:rPr>
        <w:t>（1）会议召开的时间、地点和会议形式；</w:t>
      </w:r>
    </w:p>
    <w:p>
      <w:pPr>
        <w:pStyle w:val="21"/>
        <w:adjustRightInd w:val="0"/>
        <w:snapToGrid w:val="0"/>
        <w:ind w:firstLine="480"/>
        <w:rPr>
          <w:rFonts w:cs="宋体"/>
          <w:bCs/>
          <w:sz w:val="24"/>
        </w:rPr>
      </w:pPr>
      <w:r>
        <w:rPr>
          <w:rFonts w:hint="eastAsia" w:cs="宋体"/>
          <w:bCs/>
          <w:sz w:val="24"/>
        </w:rPr>
        <w:t>（2）会议拟审议的事项、议事程序和表决方式；</w:t>
      </w:r>
    </w:p>
    <w:p>
      <w:pPr>
        <w:pStyle w:val="21"/>
        <w:adjustRightInd w:val="0"/>
        <w:snapToGrid w:val="0"/>
        <w:ind w:firstLine="480"/>
        <w:rPr>
          <w:rFonts w:cs="宋体"/>
          <w:bCs/>
          <w:sz w:val="24"/>
        </w:rPr>
      </w:pPr>
      <w:r>
        <w:rPr>
          <w:rFonts w:hint="eastAsia" w:cs="宋体"/>
          <w:bCs/>
          <w:sz w:val="24"/>
        </w:rPr>
        <w:t>（3）有权出席基金份额持有人大会的基金份额持有人的权益登记日；</w:t>
      </w:r>
    </w:p>
    <w:p>
      <w:pPr>
        <w:pStyle w:val="21"/>
        <w:adjustRightInd w:val="0"/>
        <w:snapToGrid w:val="0"/>
        <w:ind w:firstLine="480"/>
        <w:rPr>
          <w:rFonts w:cs="宋体"/>
          <w:bCs/>
          <w:sz w:val="24"/>
        </w:rPr>
      </w:pPr>
      <w:r>
        <w:rPr>
          <w:rFonts w:hint="eastAsia" w:cs="宋体"/>
          <w:bCs/>
          <w:sz w:val="24"/>
        </w:rPr>
        <w:t>（4）授权委托证明的内容要求（包括但不限于代理人身份，代理权限和代理有效期限等）、送达时间和地点；</w:t>
      </w:r>
    </w:p>
    <w:p>
      <w:pPr>
        <w:pStyle w:val="21"/>
        <w:adjustRightInd w:val="0"/>
        <w:snapToGrid w:val="0"/>
        <w:ind w:firstLine="480"/>
        <w:rPr>
          <w:rFonts w:cs="宋体"/>
          <w:bCs/>
          <w:sz w:val="24"/>
        </w:rPr>
      </w:pPr>
      <w:r>
        <w:rPr>
          <w:rFonts w:hint="eastAsia" w:cs="宋体"/>
          <w:bCs/>
          <w:sz w:val="24"/>
        </w:rPr>
        <w:t>（5）会务常设联系人姓名及联系电话；</w:t>
      </w:r>
    </w:p>
    <w:p>
      <w:pPr>
        <w:pStyle w:val="21"/>
        <w:adjustRightInd w:val="0"/>
        <w:snapToGrid w:val="0"/>
        <w:ind w:firstLine="480"/>
        <w:rPr>
          <w:rFonts w:cs="宋体"/>
          <w:bCs/>
          <w:sz w:val="24"/>
        </w:rPr>
      </w:pPr>
      <w:r>
        <w:rPr>
          <w:rFonts w:hint="eastAsia" w:cs="宋体"/>
          <w:bCs/>
          <w:sz w:val="24"/>
        </w:rPr>
        <w:t>（6）出席会议者必须准备的文件和必须履行的手续；</w:t>
      </w:r>
    </w:p>
    <w:p>
      <w:pPr>
        <w:pStyle w:val="21"/>
        <w:adjustRightInd w:val="0"/>
        <w:snapToGrid w:val="0"/>
        <w:ind w:firstLine="480"/>
        <w:rPr>
          <w:rFonts w:cs="宋体"/>
          <w:bCs/>
          <w:sz w:val="24"/>
        </w:rPr>
      </w:pPr>
      <w:r>
        <w:rPr>
          <w:rFonts w:hint="eastAsia" w:cs="宋体"/>
          <w:bCs/>
          <w:sz w:val="24"/>
        </w:rPr>
        <w:t>（7）召集人需要通知的其他事项。</w:t>
      </w:r>
    </w:p>
    <w:p>
      <w:pPr>
        <w:pStyle w:val="21"/>
        <w:adjustRightInd w:val="0"/>
        <w:snapToGrid w:val="0"/>
        <w:ind w:firstLine="480"/>
        <w:rPr>
          <w:rFonts w:cs="宋体"/>
          <w:bCs/>
          <w:sz w:val="24"/>
        </w:rPr>
      </w:pPr>
      <w:r>
        <w:rPr>
          <w:rFonts w:hint="eastAsia" w:cs="宋体"/>
          <w:bCs/>
          <w:sz w:val="24"/>
        </w:rPr>
        <w:t>2、采取通讯开会方式并进行表决的情况下，由会议召集人决定在会议通知中说明本次基金份额持有人大会所采取的具体通讯方式、委托的公证机关及其联系方式和联系人、表决意见提交的截止时间和收取方式。</w:t>
      </w:r>
    </w:p>
    <w:p>
      <w:pPr>
        <w:pStyle w:val="21"/>
        <w:adjustRightInd w:val="0"/>
        <w:snapToGrid w:val="0"/>
        <w:ind w:firstLine="480"/>
        <w:rPr>
          <w:rFonts w:cs="宋体"/>
          <w:bCs/>
          <w:sz w:val="24"/>
        </w:rPr>
      </w:pPr>
      <w:r>
        <w:rPr>
          <w:rFonts w:hint="eastAsia" w:cs="宋体"/>
          <w:bCs/>
          <w:sz w:val="24"/>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表决意见的计票效力。</w:t>
      </w:r>
    </w:p>
    <w:p>
      <w:pPr>
        <w:pStyle w:val="21"/>
        <w:adjustRightInd w:val="0"/>
        <w:snapToGrid w:val="0"/>
        <w:ind w:firstLine="480"/>
        <w:rPr>
          <w:rFonts w:cs="宋体"/>
          <w:bCs/>
          <w:sz w:val="24"/>
        </w:rPr>
      </w:pPr>
      <w:r>
        <w:rPr>
          <w:rFonts w:hint="eastAsia" w:cs="宋体"/>
          <w:bCs/>
          <w:sz w:val="24"/>
        </w:rPr>
        <w:t>（四）基金份额持有人出席会议的方式</w:t>
      </w:r>
    </w:p>
    <w:p>
      <w:pPr>
        <w:pStyle w:val="21"/>
        <w:adjustRightInd w:val="0"/>
        <w:snapToGrid w:val="0"/>
        <w:ind w:firstLine="480"/>
        <w:rPr>
          <w:rFonts w:cs="宋体"/>
          <w:bCs/>
          <w:sz w:val="24"/>
        </w:rPr>
      </w:pPr>
      <w:r>
        <w:rPr>
          <w:rFonts w:hint="eastAsia" w:cs="宋体"/>
          <w:bCs/>
          <w:sz w:val="24"/>
        </w:rPr>
        <w:t>基金份额持有人大会可通过现场开会方式、通讯开会方式或法律法规、监管机构允许的其他方式召开，会议的召开方式由会议召集人确定。</w:t>
      </w:r>
    </w:p>
    <w:p>
      <w:pPr>
        <w:pStyle w:val="21"/>
        <w:adjustRightInd w:val="0"/>
        <w:snapToGrid w:val="0"/>
        <w:ind w:firstLine="480"/>
        <w:rPr>
          <w:rFonts w:cs="宋体"/>
          <w:bCs/>
          <w:sz w:val="24"/>
        </w:rPr>
      </w:pPr>
      <w:r>
        <w:rPr>
          <w:rFonts w:hint="eastAsia" w:cs="宋体"/>
          <w:bCs/>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pStyle w:val="21"/>
        <w:adjustRightInd w:val="0"/>
        <w:snapToGrid w:val="0"/>
        <w:ind w:firstLine="480"/>
        <w:rPr>
          <w:rFonts w:cs="宋体"/>
          <w:bCs/>
          <w:sz w:val="24"/>
        </w:rPr>
      </w:pPr>
      <w:r>
        <w:rPr>
          <w:rFonts w:hint="eastAsia" w:cs="宋体"/>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pStyle w:val="21"/>
        <w:adjustRightInd w:val="0"/>
        <w:snapToGrid w:val="0"/>
        <w:ind w:firstLine="480"/>
        <w:rPr>
          <w:rFonts w:cs="宋体"/>
          <w:bCs/>
          <w:sz w:val="24"/>
        </w:rPr>
      </w:pPr>
      <w:r>
        <w:rPr>
          <w:rFonts w:hint="eastAsia" w:cs="宋体"/>
          <w:bCs/>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pStyle w:val="21"/>
        <w:adjustRightInd w:val="0"/>
        <w:snapToGrid w:val="0"/>
        <w:ind w:firstLine="480"/>
        <w:rPr>
          <w:rFonts w:cs="宋体"/>
          <w:bCs/>
          <w:sz w:val="24"/>
        </w:rPr>
      </w:pPr>
      <w:r>
        <w:rPr>
          <w:rFonts w:hint="eastAsia" w:cs="宋体"/>
          <w:bCs/>
          <w:sz w:val="24"/>
        </w:rPr>
        <w:t>2、通讯开会。通讯开会系指按照本基金合同的相关规定以召集人通知的非现场方式（包括邮寄、网络、电话、短信或其他方式）进行表决，基金份额持有人将其对表决事项的投票以召集人通知载明的非现场方式在表决截止日以前送达至召集人指定的地址或系统。</w:t>
      </w:r>
    </w:p>
    <w:p>
      <w:pPr>
        <w:pStyle w:val="21"/>
        <w:adjustRightInd w:val="0"/>
        <w:snapToGrid w:val="0"/>
        <w:ind w:firstLine="480"/>
        <w:rPr>
          <w:rFonts w:cs="宋体"/>
          <w:bCs/>
          <w:sz w:val="24"/>
        </w:rPr>
      </w:pPr>
      <w:r>
        <w:rPr>
          <w:rFonts w:hint="eastAsia" w:cs="宋体"/>
          <w:bCs/>
          <w:sz w:val="24"/>
        </w:rPr>
        <w:t>在同时符合以下条件时，通讯开会的方式视为有效：</w:t>
      </w:r>
    </w:p>
    <w:p>
      <w:pPr>
        <w:pStyle w:val="21"/>
        <w:adjustRightInd w:val="0"/>
        <w:snapToGrid w:val="0"/>
        <w:ind w:firstLine="480"/>
        <w:rPr>
          <w:rFonts w:cs="宋体"/>
          <w:bCs/>
          <w:sz w:val="24"/>
        </w:rPr>
      </w:pPr>
      <w:r>
        <w:rPr>
          <w:rFonts w:hint="eastAsia" w:cs="宋体"/>
          <w:bCs/>
          <w:sz w:val="24"/>
        </w:rPr>
        <w:t>（1）会议召集人按基金合同约定公布会议通知后，在2个工作日内连续公布相关提示性公告；</w:t>
      </w:r>
    </w:p>
    <w:p>
      <w:pPr>
        <w:pStyle w:val="21"/>
        <w:adjustRightInd w:val="0"/>
        <w:snapToGrid w:val="0"/>
        <w:ind w:firstLine="480"/>
        <w:rPr>
          <w:rFonts w:cs="宋体"/>
          <w:bCs/>
          <w:sz w:val="24"/>
        </w:rPr>
      </w:pPr>
      <w:r>
        <w:rPr>
          <w:rFonts w:hint="eastAsia" w:cs="宋体"/>
          <w:bCs/>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pStyle w:val="21"/>
        <w:adjustRightInd w:val="0"/>
        <w:snapToGrid w:val="0"/>
        <w:ind w:firstLine="480"/>
        <w:rPr>
          <w:rFonts w:cs="宋体"/>
          <w:bCs/>
          <w:sz w:val="24"/>
        </w:rPr>
      </w:pPr>
      <w:r>
        <w:rPr>
          <w:rFonts w:hint="eastAsia" w:cs="宋体"/>
          <w:bCs/>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基金份额持有人直接出具表决意见或授权他人代表出具表决意见；</w:t>
      </w:r>
    </w:p>
    <w:p>
      <w:pPr>
        <w:pStyle w:val="21"/>
        <w:adjustRightInd w:val="0"/>
        <w:snapToGrid w:val="0"/>
        <w:ind w:firstLine="480"/>
        <w:rPr>
          <w:rFonts w:cs="宋体"/>
          <w:bCs/>
          <w:sz w:val="24"/>
        </w:rPr>
      </w:pPr>
      <w:r>
        <w:rPr>
          <w:rFonts w:hint="eastAsia" w:cs="宋体"/>
          <w:bCs/>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pPr>
        <w:pStyle w:val="21"/>
        <w:adjustRightInd w:val="0"/>
        <w:snapToGrid w:val="0"/>
        <w:ind w:firstLine="480"/>
        <w:rPr>
          <w:rFonts w:cs="宋体"/>
          <w:bCs/>
          <w:sz w:val="24"/>
        </w:rPr>
      </w:pPr>
      <w:r>
        <w:rPr>
          <w:rFonts w:hint="eastAsia" w:cs="宋体"/>
          <w:bCs/>
          <w:sz w:val="24"/>
        </w:rPr>
        <w:t>3、在不违反法律法规或监管机构规定的情况下，经会议通知载明，本基金亦可采用其他非现场方式或者以现场方式与非现场方式相结合的方式召开基金份额持有人大会，会议程序比照现场开会和通讯方式开会的程序进行。基金份额持有人可以采用邮寄、网络、电话、短信或其他方式进行表决，具体方式由会议召集人确定并在会议通知中列明。</w:t>
      </w:r>
    </w:p>
    <w:p>
      <w:pPr>
        <w:pStyle w:val="21"/>
        <w:adjustRightInd w:val="0"/>
        <w:snapToGrid w:val="0"/>
        <w:ind w:firstLine="480"/>
        <w:rPr>
          <w:rFonts w:cs="宋体"/>
          <w:bCs/>
          <w:sz w:val="24"/>
        </w:rPr>
      </w:pPr>
      <w:r>
        <w:rPr>
          <w:rFonts w:hint="eastAsia" w:cs="宋体"/>
          <w:bCs/>
          <w:sz w:val="24"/>
        </w:rPr>
        <w:t>4、基金份额持有人授权他人代为出席会议并表决的，在不违反法律法规或监管机构规定的情况下，授权方式可以采用书面、网络、电话、短信或其他方式，召集人接受的具体授权方式在会议通知中列明。</w:t>
      </w:r>
    </w:p>
    <w:p>
      <w:pPr>
        <w:pStyle w:val="21"/>
        <w:adjustRightInd w:val="0"/>
        <w:snapToGrid w:val="0"/>
        <w:ind w:firstLine="480"/>
        <w:rPr>
          <w:rFonts w:cs="宋体"/>
          <w:bCs/>
          <w:sz w:val="24"/>
        </w:rPr>
      </w:pPr>
      <w:r>
        <w:rPr>
          <w:rFonts w:hint="eastAsia" w:cs="宋体"/>
          <w:bCs/>
          <w:sz w:val="24"/>
        </w:rPr>
        <w:t>（五）议事内容与程序</w:t>
      </w:r>
    </w:p>
    <w:p>
      <w:pPr>
        <w:pStyle w:val="21"/>
        <w:adjustRightInd w:val="0"/>
        <w:snapToGrid w:val="0"/>
        <w:ind w:firstLine="480"/>
        <w:rPr>
          <w:rFonts w:cs="宋体"/>
          <w:bCs/>
          <w:sz w:val="24"/>
        </w:rPr>
      </w:pPr>
      <w:r>
        <w:rPr>
          <w:rFonts w:hint="eastAsia" w:cs="宋体"/>
          <w:bCs/>
          <w:sz w:val="24"/>
        </w:rPr>
        <w:t>1、议事内容及提案权</w:t>
      </w:r>
    </w:p>
    <w:p>
      <w:pPr>
        <w:pStyle w:val="21"/>
        <w:adjustRightInd w:val="0"/>
        <w:snapToGrid w:val="0"/>
        <w:ind w:firstLine="480"/>
        <w:rPr>
          <w:rFonts w:cs="宋体"/>
          <w:bCs/>
          <w:sz w:val="24"/>
        </w:rPr>
      </w:pPr>
      <w:r>
        <w:rPr>
          <w:rFonts w:hint="eastAsia" w:cs="宋体"/>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但本基金合同另有约定的除外）。</w:t>
      </w:r>
    </w:p>
    <w:p>
      <w:pPr>
        <w:pStyle w:val="21"/>
        <w:adjustRightInd w:val="0"/>
        <w:snapToGrid w:val="0"/>
        <w:ind w:firstLine="480"/>
        <w:rPr>
          <w:rFonts w:cs="宋体"/>
          <w:bCs/>
          <w:sz w:val="24"/>
        </w:rPr>
      </w:pPr>
      <w:r>
        <w:rPr>
          <w:rFonts w:hint="eastAsia" w:cs="宋体"/>
          <w:bCs/>
          <w:sz w:val="24"/>
        </w:rPr>
        <w:t>基金管理人、基金托管人、单独或合并持有权益登记日基金总份额10%（含10%）以上的基金份额持有人可以在基金份额持有人大会召集人发出会议通知前向大会召集人提交需由基金份额持有人大会审议表决的提案；也可以在会议通知发出后向大会召集人提交临时提案。</w:t>
      </w:r>
    </w:p>
    <w:p>
      <w:pPr>
        <w:pStyle w:val="21"/>
        <w:adjustRightInd w:val="0"/>
        <w:snapToGrid w:val="0"/>
        <w:ind w:firstLine="480"/>
        <w:rPr>
          <w:rFonts w:cs="宋体"/>
          <w:bCs/>
          <w:sz w:val="24"/>
        </w:rPr>
      </w:pPr>
      <w:r>
        <w:rPr>
          <w:rFonts w:hint="eastAsia" w:cs="宋体"/>
          <w:bCs/>
          <w:sz w:val="24"/>
        </w:rPr>
        <w:t>基金份额持有人大会的召集人发出召集会议的通知后，对原有提案的修改应当在基金份额持有人大会召开前及时公告。</w:t>
      </w:r>
    </w:p>
    <w:p>
      <w:pPr>
        <w:pStyle w:val="21"/>
        <w:adjustRightInd w:val="0"/>
        <w:snapToGrid w:val="0"/>
        <w:ind w:firstLine="480"/>
        <w:rPr>
          <w:rFonts w:cs="宋体"/>
          <w:bCs/>
          <w:sz w:val="24"/>
        </w:rPr>
      </w:pPr>
      <w:r>
        <w:rPr>
          <w:rFonts w:hint="eastAsia" w:cs="宋体"/>
          <w:bCs/>
          <w:sz w:val="24"/>
        </w:rPr>
        <w:t>基金份额持有人大会不得对未事先公告的议事内容进行表决。</w:t>
      </w:r>
    </w:p>
    <w:p>
      <w:pPr>
        <w:pStyle w:val="21"/>
        <w:adjustRightInd w:val="0"/>
        <w:snapToGrid w:val="0"/>
        <w:ind w:firstLine="480"/>
        <w:rPr>
          <w:rFonts w:cs="宋体"/>
          <w:bCs/>
          <w:sz w:val="24"/>
        </w:rPr>
      </w:pPr>
      <w:r>
        <w:rPr>
          <w:rFonts w:hint="eastAsia" w:cs="宋体"/>
          <w:bCs/>
          <w:sz w:val="24"/>
        </w:rPr>
        <w:t>召集人对于基金管理人、基金托管人和基金份额持有人提交的临时提案进行审核，符合条件的应当在大会召开日30天前公告。大会召集人应当按照以下原则对提案进行审核：</w:t>
      </w:r>
    </w:p>
    <w:p>
      <w:pPr>
        <w:pStyle w:val="21"/>
        <w:adjustRightInd w:val="0"/>
        <w:snapToGrid w:val="0"/>
        <w:ind w:firstLine="480"/>
        <w:rPr>
          <w:rFonts w:cs="宋体"/>
          <w:bCs/>
          <w:sz w:val="24"/>
        </w:rPr>
      </w:pPr>
      <w:r>
        <w:rPr>
          <w:rFonts w:hint="eastAsia" w:cs="宋体"/>
          <w:bCs/>
          <w:sz w:val="24"/>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pPr>
        <w:pStyle w:val="21"/>
        <w:adjustRightInd w:val="0"/>
        <w:snapToGrid w:val="0"/>
        <w:ind w:firstLine="480"/>
        <w:rPr>
          <w:rFonts w:cs="宋体"/>
          <w:bCs/>
          <w:sz w:val="24"/>
        </w:rPr>
      </w:pPr>
      <w:r>
        <w:rPr>
          <w:rFonts w:hint="eastAsia" w:cs="宋体"/>
          <w:bCs/>
          <w:sz w:val="24"/>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pPr>
        <w:pStyle w:val="21"/>
        <w:adjustRightInd w:val="0"/>
        <w:snapToGrid w:val="0"/>
        <w:ind w:firstLine="480"/>
        <w:rPr>
          <w:rFonts w:cs="宋体"/>
          <w:bCs/>
          <w:sz w:val="24"/>
        </w:rPr>
      </w:pPr>
      <w:r>
        <w:rPr>
          <w:rFonts w:hint="eastAsia" w:cs="宋体"/>
          <w:bCs/>
          <w:sz w:val="24"/>
        </w:rPr>
        <w:t>2、议事程序</w:t>
      </w:r>
    </w:p>
    <w:p>
      <w:pPr>
        <w:pStyle w:val="21"/>
        <w:adjustRightInd w:val="0"/>
        <w:snapToGrid w:val="0"/>
        <w:ind w:firstLine="480"/>
        <w:rPr>
          <w:rFonts w:cs="宋体"/>
          <w:bCs/>
          <w:sz w:val="24"/>
        </w:rPr>
      </w:pPr>
      <w:r>
        <w:rPr>
          <w:rFonts w:hint="eastAsia" w:cs="宋体"/>
          <w:bCs/>
          <w:sz w:val="24"/>
        </w:rPr>
        <w:t>（1）现场开会</w:t>
      </w:r>
    </w:p>
    <w:p>
      <w:pPr>
        <w:pStyle w:val="21"/>
        <w:adjustRightInd w:val="0"/>
        <w:snapToGrid w:val="0"/>
        <w:ind w:firstLine="480"/>
        <w:rPr>
          <w:rFonts w:cs="宋体"/>
          <w:bCs/>
          <w:sz w:val="24"/>
        </w:rPr>
      </w:pPr>
      <w:r>
        <w:rPr>
          <w:rFonts w:hint="eastAsia" w:cs="宋体"/>
          <w:bCs/>
          <w:sz w:val="24"/>
        </w:rPr>
        <w:t>在现场开会的方式下，首先由大会主持人按照规定程序宣布会议议事程序及注意事项，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pPr>
        <w:pStyle w:val="21"/>
        <w:adjustRightInd w:val="0"/>
        <w:snapToGrid w:val="0"/>
        <w:ind w:firstLine="480"/>
        <w:rPr>
          <w:rFonts w:cs="宋体"/>
          <w:bCs/>
          <w:sz w:val="24"/>
        </w:rPr>
      </w:pPr>
      <w:r>
        <w:rPr>
          <w:rFonts w:hint="eastAsia" w:cs="宋体"/>
          <w:bCs/>
          <w:sz w:val="24"/>
        </w:rPr>
        <w:t>会议召集人应当制作出席会议人员的签名册。签名册载明参加会议人员姓名（或单位名称）、身份证明文件号码、持有或代表有表决权的基金份额、委托人姓名（或单位名称）和联系方式等事项。</w:t>
      </w:r>
    </w:p>
    <w:p>
      <w:pPr>
        <w:pStyle w:val="21"/>
        <w:adjustRightInd w:val="0"/>
        <w:snapToGrid w:val="0"/>
        <w:ind w:firstLine="480"/>
        <w:rPr>
          <w:rFonts w:cs="宋体"/>
          <w:bCs/>
          <w:sz w:val="24"/>
        </w:rPr>
      </w:pPr>
      <w:r>
        <w:rPr>
          <w:rFonts w:hint="eastAsia" w:cs="宋体"/>
          <w:bCs/>
          <w:sz w:val="24"/>
        </w:rPr>
        <w:t>（2）通讯开会</w:t>
      </w:r>
    </w:p>
    <w:p>
      <w:pPr>
        <w:pStyle w:val="21"/>
        <w:adjustRightInd w:val="0"/>
        <w:snapToGrid w:val="0"/>
        <w:ind w:firstLine="480"/>
        <w:rPr>
          <w:rFonts w:cs="宋体"/>
          <w:bCs/>
          <w:sz w:val="24"/>
        </w:rPr>
      </w:pPr>
      <w:r>
        <w:rPr>
          <w:rFonts w:hint="eastAsia" w:cs="宋体"/>
          <w:bCs/>
          <w:sz w:val="24"/>
        </w:rPr>
        <w:t>在通讯开会的情况下，首先由召集人提前30日公布提案，在所通知的表决截止日期后2个工作日内在公证机关监督下由召集人统计全部有效表决，在公证机关监督下形成决议。</w:t>
      </w:r>
    </w:p>
    <w:p>
      <w:pPr>
        <w:pStyle w:val="21"/>
        <w:adjustRightInd w:val="0"/>
        <w:snapToGrid w:val="0"/>
        <w:ind w:firstLine="480"/>
        <w:rPr>
          <w:rFonts w:cs="宋体"/>
          <w:bCs/>
          <w:sz w:val="24"/>
        </w:rPr>
      </w:pPr>
      <w:r>
        <w:rPr>
          <w:rFonts w:hint="eastAsia" w:cs="宋体"/>
          <w:bCs/>
          <w:sz w:val="24"/>
        </w:rPr>
        <w:t>（六）表决</w:t>
      </w:r>
    </w:p>
    <w:p>
      <w:pPr>
        <w:pStyle w:val="21"/>
        <w:adjustRightInd w:val="0"/>
        <w:snapToGrid w:val="0"/>
        <w:ind w:firstLine="480"/>
        <w:rPr>
          <w:rFonts w:cs="宋体"/>
          <w:bCs/>
          <w:sz w:val="24"/>
        </w:rPr>
      </w:pPr>
      <w:r>
        <w:rPr>
          <w:rFonts w:hint="eastAsia" w:cs="宋体"/>
          <w:bCs/>
          <w:sz w:val="24"/>
        </w:rPr>
        <w:t>基金份额持有人所持每份基金份额有一票表决权。</w:t>
      </w:r>
    </w:p>
    <w:p>
      <w:pPr>
        <w:pStyle w:val="21"/>
        <w:adjustRightInd w:val="0"/>
        <w:snapToGrid w:val="0"/>
        <w:ind w:firstLine="480"/>
        <w:rPr>
          <w:rFonts w:cs="宋体"/>
          <w:bCs/>
          <w:sz w:val="24"/>
        </w:rPr>
      </w:pPr>
      <w:r>
        <w:rPr>
          <w:rFonts w:hint="eastAsia" w:cs="宋体"/>
          <w:bCs/>
          <w:sz w:val="24"/>
        </w:rPr>
        <w:t>基金份额持有人大会决议分为一般决议和特别决议：</w:t>
      </w:r>
    </w:p>
    <w:p>
      <w:pPr>
        <w:pStyle w:val="21"/>
        <w:adjustRightInd w:val="0"/>
        <w:snapToGrid w:val="0"/>
        <w:ind w:firstLine="480"/>
        <w:rPr>
          <w:rFonts w:cs="宋体"/>
          <w:bCs/>
          <w:sz w:val="24"/>
        </w:rPr>
      </w:pPr>
      <w:r>
        <w:rPr>
          <w:rFonts w:hint="eastAsia" w:cs="宋体"/>
          <w:bCs/>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pStyle w:val="21"/>
        <w:adjustRightInd w:val="0"/>
        <w:snapToGrid w:val="0"/>
        <w:ind w:firstLine="480"/>
        <w:rPr>
          <w:rFonts w:cs="宋体"/>
          <w:bCs/>
          <w:sz w:val="24"/>
        </w:rPr>
      </w:pPr>
      <w:r>
        <w:rPr>
          <w:rFonts w:hint="eastAsia" w:cs="宋体"/>
          <w:bCs/>
          <w:sz w:val="24"/>
        </w:rPr>
        <w:t>2、特别决议，特别决议应当经参加大会的基金份额持有人或其代理人所持表决权的三分之二以上（含三分之二）通过方可做出。除法律法规、监管机构另有规定或本基金合同另有约定外，转换基金运作方式、更换基金管理人或者基金托管人、终止基金合同、本基金与其他基金合并以特别决议通过方为有效。</w:t>
      </w:r>
    </w:p>
    <w:p>
      <w:pPr>
        <w:pStyle w:val="21"/>
        <w:adjustRightInd w:val="0"/>
        <w:snapToGrid w:val="0"/>
        <w:ind w:firstLine="480"/>
        <w:rPr>
          <w:rFonts w:cs="宋体"/>
          <w:bCs/>
          <w:sz w:val="24"/>
        </w:rPr>
      </w:pPr>
      <w:r>
        <w:rPr>
          <w:rFonts w:hint="eastAsia" w:cs="宋体"/>
          <w:bCs/>
          <w:sz w:val="24"/>
        </w:rPr>
        <w:t>基金份额持有人大会采取记名方式进行投票表决。</w:t>
      </w:r>
    </w:p>
    <w:p>
      <w:pPr>
        <w:pStyle w:val="21"/>
        <w:adjustRightInd w:val="0"/>
        <w:snapToGrid w:val="0"/>
        <w:ind w:firstLine="480"/>
        <w:rPr>
          <w:rFonts w:cs="宋体"/>
          <w:bCs/>
          <w:sz w:val="24"/>
        </w:rPr>
      </w:pPr>
      <w:r>
        <w:rPr>
          <w:rFonts w:hint="eastAsia" w:cs="宋体"/>
          <w:bCs/>
          <w:sz w:val="24"/>
        </w:rPr>
        <w:t>采取通讯方式进行表决时，除非在计票时监督员及公证机关均认为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pPr>
        <w:pStyle w:val="21"/>
        <w:adjustRightInd w:val="0"/>
        <w:snapToGrid w:val="0"/>
        <w:ind w:firstLine="480"/>
        <w:rPr>
          <w:rFonts w:cs="宋体"/>
          <w:bCs/>
          <w:sz w:val="24"/>
        </w:rPr>
      </w:pPr>
      <w:r>
        <w:rPr>
          <w:rFonts w:hint="eastAsia" w:cs="宋体"/>
          <w:bCs/>
          <w:sz w:val="24"/>
        </w:rPr>
        <w:t>基金份额持有人大会的各项提案或同一项提案内并列的各项议题应当分开审议、逐项表决。</w:t>
      </w:r>
    </w:p>
    <w:p>
      <w:pPr>
        <w:pStyle w:val="21"/>
        <w:adjustRightInd w:val="0"/>
        <w:snapToGrid w:val="0"/>
        <w:ind w:firstLine="480"/>
        <w:rPr>
          <w:rFonts w:cs="宋体"/>
          <w:bCs/>
          <w:sz w:val="24"/>
        </w:rPr>
      </w:pPr>
      <w:r>
        <w:rPr>
          <w:rFonts w:hint="eastAsia" w:cs="宋体"/>
          <w:bCs/>
          <w:sz w:val="24"/>
        </w:rPr>
        <w:t>在上述规则的前提下，具体规则以召集人发布的基金份额持有人大会通知为准。</w:t>
      </w:r>
    </w:p>
    <w:p>
      <w:pPr>
        <w:pStyle w:val="21"/>
        <w:adjustRightInd w:val="0"/>
        <w:snapToGrid w:val="0"/>
        <w:ind w:firstLine="480"/>
        <w:rPr>
          <w:rFonts w:cs="宋体"/>
          <w:bCs/>
          <w:sz w:val="24"/>
        </w:rPr>
      </w:pPr>
      <w:r>
        <w:rPr>
          <w:rFonts w:hint="eastAsia" w:cs="宋体"/>
          <w:bCs/>
          <w:sz w:val="24"/>
        </w:rPr>
        <w:t>（七）计票</w:t>
      </w:r>
    </w:p>
    <w:p>
      <w:pPr>
        <w:pStyle w:val="21"/>
        <w:adjustRightInd w:val="0"/>
        <w:snapToGrid w:val="0"/>
        <w:ind w:firstLine="480"/>
        <w:rPr>
          <w:rFonts w:cs="宋体"/>
          <w:bCs/>
          <w:sz w:val="24"/>
        </w:rPr>
      </w:pPr>
      <w:r>
        <w:rPr>
          <w:rFonts w:hint="eastAsia" w:cs="宋体"/>
          <w:bCs/>
          <w:sz w:val="24"/>
        </w:rPr>
        <w:t>1、现场开会</w:t>
      </w:r>
    </w:p>
    <w:p>
      <w:pPr>
        <w:pStyle w:val="21"/>
        <w:adjustRightInd w:val="0"/>
        <w:snapToGrid w:val="0"/>
        <w:ind w:firstLine="480"/>
        <w:rPr>
          <w:rFonts w:cs="宋体"/>
          <w:bCs/>
          <w:sz w:val="24"/>
        </w:rPr>
      </w:pPr>
      <w:r>
        <w:rPr>
          <w:rFonts w:hint="eastAsia" w:cs="宋体"/>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pPr>
        <w:pStyle w:val="21"/>
        <w:adjustRightInd w:val="0"/>
        <w:snapToGrid w:val="0"/>
        <w:ind w:firstLine="480"/>
        <w:rPr>
          <w:rFonts w:cs="宋体"/>
          <w:bCs/>
          <w:sz w:val="24"/>
        </w:rPr>
      </w:pPr>
      <w:r>
        <w:rPr>
          <w:rFonts w:hint="eastAsia" w:cs="宋体"/>
          <w:bCs/>
          <w:sz w:val="24"/>
        </w:rPr>
        <w:t>（2）监票人应当在基金份额持有人表决后立即进行清点并由大会主持人当场公布计票结果。</w:t>
      </w:r>
    </w:p>
    <w:p>
      <w:pPr>
        <w:pStyle w:val="21"/>
        <w:adjustRightInd w:val="0"/>
        <w:snapToGrid w:val="0"/>
        <w:ind w:firstLine="480"/>
        <w:rPr>
          <w:rFonts w:cs="宋体"/>
          <w:bCs/>
          <w:sz w:val="24"/>
        </w:rPr>
      </w:pPr>
      <w:r>
        <w:rPr>
          <w:rFonts w:hint="eastAsia" w:cs="宋体"/>
          <w:bCs/>
          <w:sz w:val="24"/>
        </w:rPr>
        <w:t>（3）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pPr>
        <w:pStyle w:val="21"/>
        <w:adjustRightInd w:val="0"/>
        <w:snapToGrid w:val="0"/>
        <w:ind w:firstLine="480"/>
        <w:rPr>
          <w:rFonts w:cs="宋体"/>
          <w:bCs/>
          <w:sz w:val="24"/>
        </w:rPr>
      </w:pPr>
      <w:r>
        <w:rPr>
          <w:rFonts w:hint="eastAsia" w:cs="宋体"/>
          <w:bCs/>
          <w:sz w:val="24"/>
        </w:rPr>
        <w:t>（4）计票过程应由公证机关予以公证，基金管理人或基金托管人拒不出席大会的，不影响计票的效力。</w:t>
      </w:r>
    </w:p>
    <w:p>
      <w:pPr>
        <w:pStyle w:val="21"/>
        <w:adjustRightInd w:val="0"/>
        <w:snapToGrid w:val="0"/>
        <w:ind w:firstLine="480"/>
        <w:rPr>
          <w:rFonts w:cs="宋体"/>
          <w:bCs/>
          <w:sz w:val="24"/>
        </w:rPr>
      </w:pPr>
      <w:r>
        <w:rPr>
          <w:rFonts w:hint="eastAsia" w:cs="宋体"/>
          <w:bCs/>
          <w:sz w:val="24"/>
        </w:rPr>
        <w:t>2、通讯开会</w:t>
      </w:r>
    </w:p>
    <w:p>
      <w:pPr>
        <w:pStyle w:val="21"/>
        <w:adjustRightInd w:val="0"/>
        <w:snapToGrid w:val="0"/>
        <w:ind w:firstLine="480"/>
        <w:rPr>
          <w:rFonts w:cs="宋体"/>
          <w:bCs/>
          <w:sz w:val="24"/>
        </w:rPr>
      </w:pPr>
      <w:r>
        <w:rPr>
          <w:rFonts w:hint="eastAsia" w:cs="宋体"/>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pStyle w:val="21"/>
        <w:adjustRightInd w:val="0"/>
        <w:snapToGrid w:val="0"/>
        <w:ind w:firstLine="480"/>
        <w:rPr>
          <w:rFonts w:cs="宋体"/>
          <w:bCs/>
          <w:sz w:val="24"/>
        </w:rPr>
      </w:pPr>
      <w:r>
        <w:rPr>
          <w:rFonts w:hint="eastAsia" w:cs="宋体"/>
          <w:bCs/>
          <w:sz w:val="24"/>
        </w:rPr>
        <w:t>（八）生效与公告</w:t>
      </w:r>
    </w:p>
    <w:p>
      <w:pPr>
        <w:pStyle w:val="21"/>
        <w:adjustRightInd w:val="0"/>
        <w:snapToGrid w:val="0"/>
        <w:ind w:firstLine="480"/>
        <w:rPr>
          <w:rFonts w:cs="宋体"/>
          <w:bCs/>
          <w:sz w:val="24"/>
        </w:rPr>
      </w:pPr>
      <w:r>
        <w:rPr>
          <w:rFonts w:hint="eastAsia" w:cs="宋体"/>
          <w:bCs/>
          <w:sz w:val="24"/>
        </w:rPr>
        <w:t>基金份额持有人大会的决议，召集人应当自通过之日起5日内报中国证监会备案。</w:t>
      </w:r>
    </w:p>
    <w:p>
      <w:pPr>
        <w:pStyle w:val="21"/>
        <w:adjustRightInd w:val="0"/>
        <w:snapToGrid w:val="0"/>
        <w:ind w:firstLine="480"/>
        <w:rPr>
          <w:rFonts w:cs="宋体"/>
          <w:bCs/>
          <w:sz w:val="24"/>
        </w:rPr>
      </w:pPr>
      <w:r>
        <w:rPr>
          <w:rFonts w:hint="eastAsia" w:cs="宋体"/>
          <w:bCs/>
          <w:sz w:val="24"/>
        </w:rPr>
        <w:t>基金份额持有人大会的决议自表决通过之日起生效。</w:t>
      </w:r>
    </w:p>
    <w:p>
      <w:pPr>
        <w:pStyle w:val="21"/>
        <w:adjustRightInd w:val="0"/>
        <w:snapToGrid w:val="0"/>
        <w:ind w:firstLine="480"/>
        <w:rPr>
          <w:rFonts w:cs="宋体"/>
          <w:bCs/>
          <w:sz w:val="24"/>
        </w:rPr>
      </w:pPr>
      <w:r>
        <w:rPr>
          <w:rFonts w:hint="eastAsia" w:cs="宋体"/>
          <w:bCs/>
          <w:sz w:val="24"/>
        </w:rPr>
        <w:t>基金份额持有人大会决议自生效之日起依照《信息披露办法》的有关规定在规定媒介上公告。如果采用通讯方式进行表决，在公告基金份额持有人大会决议时，必须将公证书全文、公证机构、公证员姓名等一同公告。</w:t>
      </w:r>
    </w:p>
    <w:p>
      <w:pPr>
        <w:pStyle w:val="21"/>
        <w:adjustRightInd w:val="0"/>
        <w:snapToGrid w:val="0"/>
        <w:ind w:firstLine="480"/>
        <w:rPr>
          <w:rFonts w:cs="宋体"/>
          <w:bCs/>
          <w:sz w:val="24"/>
        </w:rPr>
      </w:pPr>
      <w:r>
        <w:rPr>
          <w:rFonts w:hint="eastAsia" w:cs="宋体"/>
          <w:bCs/>
          <w:sz w:val="24"/>
        </w:rPr>
        <w:t>基金管理人、基金托管人和基金份额持有人应当执行生效的基金份额持有人大会的决议。生效的基金份额持有人大会决议对全体基金份额持有人、基金管理人、基金托管人均有约束力。</w:t>
      </w:r>
    </w:p>
    <w:p>
      <w:pPr>
        <w:pStyle w:val="21"/>
        <w:adjustRightInd w:val="0"/>
        <w:snapToGrid w:val="0"/>
        <w:ind w:firstLine="480"/>
        <w:rPr>
          <w:rFonts w:cs="宋体"/>
          <w:bCs/>
          <w:sz w:val="24"/>
        </w:rPr>
      </w:pPr>
      <w:r>
        <w:rPr>
          <w:rFonts w:hint="eastAsia" w:cs="宋体"/>
          <w:bCs/>
          <w:sz w:val="24"/>
        </w:rPr>
        <w:t>（九）实施侧袋机制期间基金份额持有人大会的特殊约定</w:t>
      </w:r>
    </w:p>
    <w:p>
      <w:pPr>
        <w:pStyle w:val="21"/>
        <w:adjustRightInd w:val="0"/>
        <w:snapToGrid w:val="0"/>
        <w:ind w:firstLine="480"/>
        <w:rPr>
          <w:rFonts w:cs="宋体"/>
          <w:bCs/>
          <w:sz w:val="24"/>
        </w:rPr>
      </w:pPr>
      <w:r>
        <w:rPr>
          <w:rFonts w:hint="eastAsia" w:cs="宋体"/>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pStyle w:val="21"/>
        <w:adjustRightInd w:val="0"/>
        <w:snapToGrid w:val="0"/>
        <w:ind w:firstLine="480"/>
        <w:rPr>
          <w:rFonts w:cs="宋体"/>
          <w:bCs/>
          <w:sz w:val="24"/>
        </w:rPr>
      </w:pPr>
      <w:r>
        <w:rPr>
          <w:rFonts w:hint="eastAsia" w:cs="宋体"/>
          <w:bCs/>
          <w:sz w:val="24"/>
        </w:rPr>
        <w:t>1、基金份额持有人行使提议权、召集权、提名权所需单独或合计代表相关基金份额10%以上（含10%）；</w:t>
      </w:r>
    </w:p>
    <w:p>
      <w:pPr>
        <w:pStyle w:val="21"/>
        <w:adjustRightInd w:val="0"/>
        <w:snapToGrid w:val="0"/>
        <w:ind w:firstLine="480"/>
        <w:rPr>
          <w:rFonts w:cs="宋体"/>
          <w:bCs/>
          <w:sz w:val="24"/>
        </w:rPr>
      </w:pPr>
      <w:r>
        <w:rPr>
          <w:rFonts w:hint="eastAsia" w:cs="宋体"/>
          <w:bCs/>
          <w:sz w:val="24"/>
        </w:rPr>
        <w:t>2、现场开会的到会者在权益登记日代表的基金份额不少于本基金在权益登记日相关基金份额的二分之一（含二分之一）；</w:t>
      </w:r>
    </w:p>
    <w:p>
      <w:pPr>
        <w:pStyle w:val="21"/>
        <w:adjustRightInd w:val="0"/>
        <w:snapToGrid w:val="0"/>
        <w:ind w:firstLine="480"/>
        <w:rPr>
          <w:rFonts w:cs="宋体"/>
          <w:bCs/>
          <w:sz w:val="24"/>
        </w:rPr>
      </w:pPr>
      <w:r>
        <w:rPr>
          <w:rFonts w:hint="eastAsia" w:cs="宋体"/>
          <w:bCs/>
          <w:sz w:val="24"/>
        </w:rPr>
        <w:t>3、通讯开会的直接出具表决意见或授权他人代表出具表决意见的基金份额持有人所持有的基金份额不小于在权益登记日相关基金份额的二分之一（含二分之一）；</w:t>
      </w:r>
    </w:p>
    <w:p>
      <w:pPr>
        <w:pStyle w:val="21"/>
        <w:adjustRightInd w:val="0"/>
        <w:snapToGrid w:val="0"/>
        <w:ind w:firstLine="480"/>
        <w:rPr>
          <w:rFonts w:cs="宋体"/>
          <w:bCs/>
          <w:sz w:val="24"/>
        </w:rPr>
      </w:pPr>
      <w:r>
        <w:rPr>
          <w:rFonts w:hint="eastAsia" w:cs="宋体"/>
          <w:bCs/>
          <w:sz w:val="24"/>
        </w:rPr>
        <w:t>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pStyle w:val="21"/>
        <w:adjustRightInd w:val="0"/>
        <w:snapToGrid w:val="0"/>
        <w:ind w:firstLine="480"/>
        <w:rPr>
          <w:rFonts w:cs="宋体"/>
          <w:bCs/>
          <w:sz w:val="24"/>
        </w:rPr>
      </w:pPr>
      <w:r>
        <w:rPr>
          <w:rFonts w:hint="eastAsia" w:cs="宋体"/>
          <w:bCs/>
          <w:sz w:val="24"/>
        </w:rPr>
        <w:t>5、现场开会由出席大会的基金份额持有人和代理人所持表决权的50%以上（含50%）选举产生一名基金份额持有人作为该次基金份额持有人大会的主持人；</w:t>
      </w:r>
    </w:p>
    <w:p>
      <w:pPr>
        <w:pStyle w:val="21"/>
        <w:adjustRightInd w:val="0"/>
        <w:snapToGrid w:val="0"/>
        <w:ind w:firstLine="480"/>
        <w:rPr>
          <w:rFonts w:cs="宋体"/>
          <w:bCs/>
          <w:sz w:val="24"/>
        </w:rPr>
      </w:pPr>
      <w:r>
        <w:rPr>
          <w:rFonts w:hint="eastAsia" w:cs="宋体"/>
          <w:bCs/>
          <w:sz w:val="24"/>
        </w:rPr>
        <w:t>6、一般决议须经参加大会的基金份额持有人或其代理人所持表决权的二分之一以上（含二分之一）通过；</w:t>
      </w:r>
    </w:p>
    <w:p>
      <w:pPr>
        <w:pStyle w:val="21"/>
        <w:adjustRightInd w:val="0"/>
        <w:snapToGrid w:val="0"/>
        <w:ind w:firstLine="480"/>
        <w:rPr>
          <w:rFonts w:cs="宋体"/>
          <w:bCs/>
          <w:sz w:val="24"/>
        </w:rPr>
      </w:pPr>
      <w:r>
        <w:rPr>
          <w:rFonts w:hint="eastAsia" w:cs="宋体"/>
          <w:bCs/>
          <w:sz w:val="24"/>
        </w:rPr>
        <w:t>7、特别决议应当经参加大会的基金份额持有人或其代理人所持表决权的三分之二以上（含三分之二）通过。</w:t>
      </w:r>
    </w:p>
    <w:p>
      <w:pPr>
        <w:pStyle w:val="21"/>
        <w:adjustRightInd w:val="0"/>
        <w:snapToGrid w:val="0"/>
        <w:ind w:firstLine="480"/>
        <w:rPr>
          <w:rFonts w:cs="宋体"/>
          <w:bCs/>
          <w:sz w:val="24"/>
        </w:rPr>
      </w:pPr>
      <w:r>
        <w:rPr>
          <w:rFonts w:hint="eastAsia" w:cs="宋体"/>
          <w:bCs/>
          <w:sz w:val="24"/>
        </w:rPr>
        <w:t>同一主侧袋账户内的每份基金份额具有平等的表决权。</w:t>
      </w:r>
    </w:p>
    <w:p>
      <w:pPr>
        <w:pStyle w:val="21"/>
        <w:adjustRightInd w:val="0"/>
        <w:snapToGrid w:val="0"/>
        <w:ind w:firstLine="480"/>
        <w:rPr>
          <w:rFonts w:cs="宋体"/>
          <w:bCs/>
          <w:sz w:val="24"/>
        </w:rPr>
      </w:pPr>
      <w:r>
        <w:rPr>
          <w:rFonts w:hint="eastAsia" w:cs="宋体"/>
          <w:bCs/>
          <w:sz w:val="24"/>
        </w:rPr>
        <w:t>三、基金合同解除和终止的事由、程序</w:t>
      </w:r>
      <w:r>
        <w:rPr>
          <w:rFonts w:hint="eastAsia" w:ascii="仿宋_GB2312" w:hAnsi="仿宋_GB2312"/>
          <w:bCs/>
          <w:sz w:val="24"/>
          <w:szCs w:val="24"/>
        </w:rPr>
        <w:t>以及基金财产清算方式</w:t>
      </w:r>
    </w:p>
    <w:p>
      <w:pPr>
        <w:pStyle w:val="21"/>
        <w:adjustRightInd w:val="0"/>
        <w:snapToGrid w:val="0"/>
        <w:ind w:firstLine="480"/>
        <w:rPr>
          <w:rFonts w:cs="宋体"/>
          <w:bCs/>
          <w:sz w:val="24"/>
        </w:rPr>
      </w:pPr>
      <w:r>
        <w:rPr>
          <w:rFonts w:hint="eastAsia" w:cs="宋体"/>
          <w:bCs/>
          <w:sz w:val="24"/>
        </w:rPr>
        <w:t>（一）基金合同的变更</w:t>
      </w:r>
    </w:p>
    <w:p>
      <w:pPr>
        <w:pStyle w:val="21"/>
        <w:adjustRightInd w:val="0"/>
        <w:snapToGrid w:val="0"/>
        <w:ind w:firstLine="480"/>
        <w:rPr>
          <w:rFonts w:cs="宋体"/>
          <w:bCs/>
          <w:sz w:val="24"/>
        </w:rPr>
      </w:pPr>
      <w:r>
        <w:rPr>
          <w:rFonts w:hint="eastAsia" w:cs="宋体"/>
          <w:bCs/>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w:t>
      </w:r>
    </w:p>
    <w:p>
      <w:pPr>
        <w:pStyle w:val="21"/>
        <w:adjustRightInd w:val="0"/>
        <w:snapToGrid w:val="0"/>
        <w:ind w:firstLine="480"/>
        <w:rPr>
          <w:rFonts w:cs="宋体"/>
          <w:bCs/>
          <w:sz w:val="24"/>
        </w:rPr>
      </w:pPr>
      <w:r>
        <w:rPr>
          <w:rFonts w:hint="eastAsia" w:cs="宋体"/>
          <w:bCs/>
          <w:sz w:val="24"/>
        </w:rPr>
        <w:t>2、关于基金合同变更的基金份额持有人大会决议自生效后方可执行，自决议生效后依照《信息披露办法》的有关规定在规定媒介公告。若法律法规发生变化，则以变化后的规定为准。</w:t>
      </w:r>
    </w:p>
    <w:p>
      <w:pPr>
        <w:pStyle w:val="21"/>
        <w:adjustRightInd w:val="0"/>
        <w:snapToGrid w:val="0"/>
        <w:ind w:firstLine="480"/>
        <w:rPr>
          <w:rFonts w:cs="宋体"/>
          <w:bCs/>
          <w:sz w:val="24"/>
        </w:rPr>
      </w:pPr>
      <w:r>
        <w:rPr>
          <w:rFonts w:hint="eastAsia" w:cs="宋体"/>
          <w:bCs/>
          <w:sz w:val="24"/>
        </w:rPr>
        <w:t>（二）基金合同的终止事由</w:t>
      </w:r>
    </w:p>
    <w:p>
      <w:pPr>
        <w:pStyle w:val="21"/>
        <w:adjustRightInd w:val="0"/>
        <w:snapToGrid w:val="0"/>
        <w:ind w:firstLine="480"/>
        <w:rPr>
          <w:rFonts w:cs="宋体"/>
          <w:bCs/>
          <w:sz w:val="24"/>
        </w:rPr>
      </w:pPr>
      <w:r>
        <w:rPr>
          <w:rFonts w:hint="eastAsia" w:cs="宋体"/>
          <w:bCs/>
          <w:sz w:val="24"/>
        </w:rPr>
        <w:t>有下列情形之一的，经履行相关程序后，基金合同应当终止：</w:t>
      </w:r>
    </w:p>
    <w:p>
      <w:pPr>
        <w:pStyle w:val="21"/>
        <w:adjustRightInd w:val="0"/>
        <w:snapToGrid w:val="0"/>
        <w:ind w:firstLine="480"/>
        <w:rPr>
          <w:rFonts w:cs="宋体"/>
          <w:bCs/>
          <w:sz w:val="24"/>
        </w:rPr>
      </w:pPr>
      <w:r>
        <w:rPr>
          <w:rFonts w:hint="eastAsia" w:cs="宋体"/>
          <w:bCs/>
          <w:sz w:val="24"/>
        </w:rPr>
        <w:t>1、基金份额持有人大会决定终止的；</w:t>
      </w:r>
    </w:p>
    <w:p>
      <w:pPr>
        <w:pStyle w:val="21"/>
        <w:adjustRightInd w:val="0"/>
        <w:snapToGrid w:val="0"/>
        <w:ind w:firstLine="480"/>
        <w:rPr>
          <w:rFonts w:cs="宋体"/>
          <w:bCs/>
          <w:sz w:val="24"/>
        </w:rPr>
      </w:pPr>
      <w:r>
        <w:rPr>
          <w:rFonts w:hint="eastAsia" w:cs="宋体"/>
          <w:bCs/>
          <w:sz w:val="24"/>
        </w:rPr>
        <w:t>2、基金管理人、基金托管人职责终止，在6个月内没有新基金管理人、新基金托管人承接的；</w:t>
      </w:r>
    </w:p>
    <w:p>
      <w:pPr>
        <w:pStyle w:val="21"/>
        <w:adjustRightInd w:val="0"/>
        <w:snapToGrid w:val="0"/>
        <w:ind w:firstLine="480"/>
        <w:rPr>
          <w:rFonts w:cs="宋体"/>
          <w:bCs/>
          <w:sz w:val="24"/>
        </w:rPr>
      </w:pPr>
      <w:r>
        <w:rPr>
          <w:rFonts w:hint="eastAsia" w:cs="宋体"/>
          <w:bCs/>
          <w:sz w:val="24"/>
        </w:rPr>
        <w:t>3、</w:t>
      </w:r>
      <w:r>
        <w:rPr>
          <w:rFonts w:hint="eastAsia"/>
          <w:bCs/>
          <w:sz w:val="24"/>
        </w:rPr>
        <w:t>《基金合同》生效后</w:t>
      </w:r>
      <w:r>
        <w:rPr>
          <w:rFonts w:hint="eastAsia" w:cs="宋体"/>
          <w:bCs/>
          <w:sz w:val="24"/>
        </w:rPr>
        <w:t>连续50个工作日出现基金份额持有人数量不满200人或者基金资产净值低于5000万元情形的；</w:t>
      </w:r>
    </w:p>
    <w:p>
      <w:pPr>
        <w:pStyle w:val="21"/>
        <w:adjustRightInd w:val="0"/>
        <w:snapToGrid w:val="0"/>
        <w:ind w:firstLine="480"/>
        <w:rPr>
          <w:rFonts w:cs="宋体"/>
          <w:bCs/>
          <w:sz w:val="24"/>
        </w:rPr>
      </w:pPr>
      <w:r>
        <w:rPr>
          <w:rFonts w:hint="eastAsia" w:cs="宋体"/>
          <w:bCs/>
          <w:sz w:val="24"/>
        </w:rPr>
        <w:t>4、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pPr>
        <w:pStyle w:val="21"/>
        <w:adjustRightInd w:val="0"/>
        <w:snapToGrid w:val="0"/>
        <w:ind w:firstLine="480"/>
        <w:rPr>
          <w:rFonts w:cs="宋体"/>
          <w:bCs/>
          <w:sz w:val="24"/>
        </w:rPr>
      </w:pPr>
      <w:r>
        <w:rPr>
          <w:rFonts w:hint="eastAsia" w:cs="宋体"/>
          <w:bCs/>
          <w:sz w:val="24"/>
        </w:rPr>
        <w:t>5、基金合同约定的其他情形；</w:t>
      </w:r>
    </w:p>
    <w:p>
      <w:pPr>
        <w:pStyle w:val="21"/>
        <w:adjustRightInd w:val="0"/>
        <w:snapToGrid w:val="0"/>
        <w:ind w:firstLine="480"/>
        <w:rPr>
          <w:rFonts w:cs="宋体"/>
          <w:bCs/>
          <w:sz w:val="24"/>
        </w:rPr>
      </w:pPr>
      <w:r>
        <w:rPr>
          <w:rFonts w:hint="eastAsia" w:cs="宋体"/>
          <w:bCs/>
          <w:sz w:val="24"/>
        </w:rPr>
        <w:t>6、相关法律法规和中国证监会规定的其他情况。</w:t>
      </w:r>
    </w:p>
    <w:p>
      <w:pPr>
        <w:pStyle w:val="21"/>
        <w:adjustRightInd w:val="0"/>
        <w:snapToGrid w:val="0"/>
        <w:ind w:firstLine="480"/>
        <w:rPr>
          <w:rFonts w:cs="宋体"/>
          <w:bCs/>
          <w:sz w:val="24"/>
        </w:rPr>
      </w:pPr>
      <w:r>
        <w:rPr>
          <w:rFonts w:hint="eastAsia" w:cs="宋体"/>
          <w:bCs/>
          <w:sz w:val="24"/>
        </w:rPr>
        <w:t>（三）基金财产的清算</w:t>
      </w:r>
    </w:p>
    <w:p>
      <w:pPr>
        <w:pStyle w:val="21"/>
        <w:adjustRightInd w:val="0"/>
        <w:snapToGrid w:val="0"/>
        <w:ind w:firstLine="480"/>
        <w:rPr>
          <w:rFonts w:cs="宋体"/>
          <w:bCs/>
          <w:sz w:val="24"/>
        </w:rPr>
      </w:pPr>
      <w:r>
        <w:rPr>
          <w:rFonts w:hint="eastAsia" w:cs="宋体"/>
          <w:bCs/>
          <w:sz w:val="24"/>
        </w:rPr>
        <w:t>1、基金财产清算小组：基金合同终止事由出现后，基金管理人组织基金财产清算小组并在中国证监会的监督下进行基金清算。</w:t>
      </w:r>
    </w:p>
    <w:p>
      <w:pPr>
        <w:pStyle w:val="21"/>
        <w:adjustRightInd w:val="0"/>
        <w:snapToGrid w:val="0"/>
        <w:ind w:firstLine="480"/>
        <w:rPr>
          <w:rFonts w:cs="宋体"/>
          <w:bCs/>
          <w:sz w:val="24"/>
        </w:rPr>
      </w:pPr>
      <w:r>
        <w:rPr>
          <w:rFonts w:hint="eastAsia" w:cs="宋体"/>
          <w:bCs/>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pPr>
        <w:pStyle w:val="21"/>
        <w:adjustRightInd w:val="0"/>
        <w:snapToGrid w:val="0"/>
        <w:ind w:firstLine="480"/>
        <w:rPr>
          <w:rFonts w:cs="宋体"/>
          <w:bCs/>
          <w:sz w:val="24"/>
        </w:rPr>
      </w:pPr>
      <w:r>
        <w:rPr>
          <w:rFonts w:hint="eastAsia" w:cs="宋体"/>
          <w:bCs/>
          <w:sz w:val="24"/>
        </w:rPr>
        <w:t>3、基金财产清算小组职责：基金财产清算小组负责基金财产的保管、清理、估价、变现和分配。基金财产清算小组可以依法进行必要的民事活动。</w:t>
      </w:r>
    </w:p>
    <w:p>
      <w:pPr>
        <w:pStyle w:val="21"/>
        <w:adjustRightInd w:val="0"/>
        <w:snapToGrid w:val="0"/>
        <w:ind w:firstLine="480"/>
        <w:rPr>
          <w:rFonts w:cs="宋体"/>
          <w:bCs/>
          <w:sz w:val="24"/>
        </w:rPr>
      </w:pPr>
      <w:r>
        <w:rPr>
          <w:rFonts w:hint="eastAsia" w:cs="宋体"/>
          <w:bCs/>
          <w:sz w:val="24"/>
        </w:rPr>
        <w:t>4、基金财产清算程序：</w:t>
      </w:r>
    </w:p>
    <w:p>
      <w:pPr>
        <w:pStyle w:val="21"/>
        <w:adjustRightInd w:val="0"/>
        <w:snapToGrid w:val="0"/>
        <w:ind w:firstLine="480"/>
        <w:rPr>
          <w:rFonts w:cs="宋体"/>
          <w:bCs/>
          <w:sz w:val="24"/>
        </w:rPr>
      </w:pPr>
      <w:r>
        <w:rPr>
          <w:rFonts w:hint="eastAsia" w:cs="宋体"/>
          <w:bCs/>
          <w:sz w:val="24"/>
        </w:rPr>
        <w:t>（1）基金合同终止情形出现时，由基金财产清算小组统一接管基金；</w:t>
      </w:r>
    </w:p>
    <w:p>
      <w:pPr>
        <w:pStyle w:val="21"/>
        <w:adjustRightInd w:val="0"/>
        <w:snapToGrid w:val="0"/>
        <w:ind w:firstLine="480"/>
        <w:rPr>
          <w:rFonts w:cs="宋体"/>
          <w:bCs/>
          <w:sz w:val="24"/>
        </w:rPr>
      </w:pPr>
      <w:r>
        <w:rPr>
          <w:rFonts w:hint="eastAsia" w:cs="宋体"/>
          <w:bCs/>
          <w:sz w:val="24"/>
        </w:rPr>
        <w:t>（2）对基金财产和债权债务进行清理和确认；</w:t>
      </w:r>
    </w:p>
    <w:p>
      <w:pPr>
        <w:pStyle w:val="21"/>
        <w:adjustRightInd w:val="0"/>
        <w:snapToGrid w:val="0"/>
        <w:ind w:firstLine="480"/>
        <w:rPr>
          <w:rFonts w:cs="宋体"/>
          <w:bCs/>
          <w:sz w:val="24"/>
        </w:rPr>
      </w:pPr>
      <w:r>
        <w:rPr>
          <w:rFonts w:hint="eastAsia" w:cs="宋体"/>
          <w:bCs/>
          <w:sz w:val="24"/>
        </w:rPr>
        <w:t>（3）对基金财产进行估值和变现；</w:t>
      </w:r>
    </w:p>
    <w:p>
      <w:pPr>
        <w:pStyle w:val="21"/>
        <w:adjustRightInd w:val="0"/>
        <w:snapToGrid w:val="0"/>
        <w:ind w:firstLine="480"/>
        <w:rPr>
          <w:rFonts w:cs="宋体"/>
          <w:bCs/>
          <w:sz w:val="24"/>
        </w:rPr>
      </w:pPr>
      <w:r>
        <w:rPr>
          <w:rFonts w:hint="eastAsia" w:cs="宋体"/>
          <w:bCs/>
          <w:sz w:val="24"/>
        </w:rPr>
        <w:t>（4）制作清算报告；</w:t>
      </w:r>
    </w:p>
    <w:p>
      <w:pPr>
        <w:pStyle w:val="21"/>
        <w:adjustRightInd w:val="0"/>
        <w:snapToGrid w:val="0"/>
        <w:ind w:firstLine="480"/>
        <w:rPr>
          <w:rFonts w:cs="宋体"/>
          <w:bCs/>
          <w:sz w:val="24"/>
        </w:rPr>
      </w:pPr>
      <w:r>
        <w:rPr>
          <w:rFonts w:hint="eastAsia" w:cs="宋体"/>
          <w:bCs/>
          <w:sz w:val="24"/>
        </w:rPr>
        <w:t>（5）聘请会计师事务所对清算报告进行外部审计，聘请律师事务所对清算报告出具法律意见书；</w:t>
      </w:r>
    </w:p>
    <w:p>
      <w:pPr>
        <w:pStyle w:val="21"/>
        <w:adjustRightInd w:val="0"/>
        <w:snapToGrid w:val="0"/>
        <w:ind w:firstLine="480"/>
        <w:rPr>
          <w:rFonts w:cs="宋体"/>
          <w:bCs/>
          <w:sz w:val="24"/>
        </w:rPr>
      </w:pPr>
      <w:r>
        <w:rPr>
          <w:rFonts w:hint="eastAsia" w:cs="宋体"/>
          <w:bCs/>
          <w:sz w:val="24"/>
        </w:rPr>
        <w:t>（6）将清算报告报中国证监会备案并公告；</w:t>
      </w:r>
    </w:p>
    <w:p>
      <w:pPr>
        <w:pStyle w:val="21"/>
        <w:adjustRightInd w:val="0"/>
        <w:snapToGrid w:val="0"/>
        <w:ind w:firstLine="480"/>
        <w:rPr>
          <w:rFonts w:cs="宋体"/>
          <w:bCs/>
          <w:sz w:val="24"/>
        </w:rPr>
      </w:pPr>
      <w:r>
        <w:rPr>
          <w:rFonts w:hint="eastAsia" w:cs="宋体"/>
          <w:bCs/>
          <w:sz w:val="24"/>
        </w:rPr>
        <w:t>（7）对基金剩余财产进行分配。</w:t>
      </w:r>
    </w:p>
    <w:p>
      <w:pPr>
        <w:pStyle w:val="21"/>
        <w:adjustRightInd w:val="0"/>
        <w:snapToGrid w:val="0"/>
        <w:ind w:firstLine="480"/>
        <w:rPr>
          <w:rFonts w:cs="宋体"/>
          <w:bCs/>
          <w:sz w:val="24"/>
        </w:rPr>
      </w:pPr>
      <w:r>
        <w:rPr>
          <w:rFonts w:hint="eastAsia" w:cs="宋体"/>
          <w:bCs/>
          <w:sz w:val="24"/>
        </w:rPr>
        <w:t>5、基金财产清算的期限为6个月，但因本基金所持证券的流动性受到限制而不能及时变现的，清算期限相应顺延。</w:t>
      </w:r>
    </w:p>
    <w:p>
      <w:pPr>
        <w:pStyle w:val="21"/>
        <w:adjustRightInd w:val="0"/>
        <w:snapToGrid w:val="0"/>
        <w:ind w:firstLine="480"/>
        <w:rPr>
          <w:rFonts w:cs="宋体"/>
          <w:bCs/>
          <w:sz w:val="24"/>
        </w:rPr>
      </w:pPr>
      <w:r>
        <w:rPr>
          <w:rFonts w:hint="eastAsia" w:cs="宋体"/>
          <w:bCs/>
          <w:sz w:val="24"/>
        </w:rPr>
        <w:t>（四）清算费用</w:t>
      </w:r>
    </w:p>
    <w:p>
      <w:pPr>
        <w:pStyle w:val="21"/>
        <w:adjustRightInd w:val="0"/>
        <w:snapToGrid w:val="0"/>
        <w:ind w:firstLine="480"/>
        <w:rPr>
          <w:rFonts w:cs="宋体"/>
          <w:bCs/>
          <w:sz w:val="24"/>
        </w:rPr>
      </w:pPr>
      <w:r>
        <w:rPr>
          <w:rFonts w:hint="eastAsia" w:cs="宋体"/>
          <w:bCs/>
          <w:sz w:val="24"/>
        </w:rPr>
        <w:t>清算费用是指基金财产清算小组在进行基金清算过程中发生的所有合理费用，清算费用由基金财产清算小组优先从基金剩余财产中支付。</w:t>
      </w:r>
    </w:p>
    <w:p>
      <w:pPr>
        <w:pStyle w:val="21"/>
        <w:adjustRightInd w:val="0"/>
        <w:snapToGrid w:val="0"/>
        <w:ind w:firstLine="480"/>
        <w:rPr>
          <w:rFonts w:cs="宋体"/>
          <w:bCs/>
          <w:sz w:val="24"/>
        </w:rPr>
      </w:pPr>
      <w:r>
        <w:rPr>
          <w:rFonts w:hint="eastAsia" w:cs="宋体"/>
          <w:bCs/>
          <w:sz w:val="24"/>
        </w:rPr>
        <w:t>（五）基金财产清算剩余资产的分配</w:t>
      </w:r>
    </w:p>
    <w:p>
      <w:pPr>
        <w:pStyle w:val="21"/>
        <w:adjustRightInd w:val="0"/>
        <w:snapToGrid w:val="0"/>
        <w:ind w:firstLine="480"/>
        <w:rPr>
          <w:rFonts w:cs="宋体"/>
          <w:bCs/>
          <w:sz w:val="24"/>
        </w:rPr>
      </w:pPr>
      <w:r>
        <w:rPr>
          <w:rFonts w:hint="eastAsia" w:cs="宋体"/>
          <w:bCs/>
          <w:sz w:val="24"/>
        </w:rPr>
        <w:t>依据基金财产清算的分配方案，将基金财产清算后的全部剩余资产扣除基金财产清算费用、交纳所欠税款并清偿基金债务后，按基金份额持有人持有的各类基金份额比例进行分配。</w:t>
      </w:r>
    </w:p>
    <w:p>
      <w:pPr>
        <w:pStyle w:val="21"/>
        <w:adjustRightInd w:val="0"/>
        <w:snapToGrid w:val="0"/>
        <w:ind w:firstLine="480"/>
        <w:rPr>
          <w:rFonts w:cs="宋体"/>
          <w:bCs/>
          <w:sz w:val="24"/>
        </w:rPr>
      </w:pPr>
      <w:r>
        <w:rPr>
          <w:rFonts w:hint="eastAsia" w:cs="宋体"/>
          <w:bCs/>
          <w:sz w:val="24"/>
        </w:rPr>
        <w:t>（六）基金财产清算的公告</w:t>
      </w:r>
    </w:p>
    <w:p>
      <w:pPr>
        <w:pStyle w:val="21"/>
        <w:adjustRightInd w:val="0"/>
        <w:snapToGrid w:val="0"/>
        <w:ind w:firstLine="480"/>
        <w:rPr>
          <w:rFonts w:cs="宋体"/>
          <w:bCs/>
          <w:sz w:val="24"/>
        </w:rPr>
      </w:pPr>
      <w:r>
        <w:rPr>
          <w:rFonts w:hint="eastAsia" w:cs="宋体"/>
          <w:bCs/>
          <w:sz w:val="24"/>
        </w:rPr>
        <w:t>清算过程中的有关重大事项须及时公告；基金财产清算报告经符合《中华人民共和国证券法》规定的会计师事务所审计，律师事务所出具法律意见书后，由基金财产清算小组报中国证监会备案并公告，基金财产清算小组应当将清算报告登载在规定网站上，并将清算报告提示性公告登载在规定报刊上。</w:t>
      </w:r>
    </w:p>
    <w:p>
      <w:pPr>
        <w:pStyle w:val="21"/>
        <w:adjustRightInd w:val="0"/>
        <w:snapToGrid w:val="0"/>
        <w:ind w:firstLine="480"/>
        <w:rPr>
          <w:rFonts w:cs="宋体"/>
          <w:bCs/>
          <w:sz w:val="24"/>
        </w:rPr>
      </w:pPr>
      <w:r>
        <w:rPr>
          <w:rFonts w:hint="eastAsia" w:cs="宋体"/>
          <w:bCs/>
          <w:sz w:val="24"/>
        </w:rPr>
        <w:t>（七）基金财产清算账册及文件的保存</w:t>
      </w:r>
    </w:p>
    <w:p>
      <w:pPr>
        <w:pStyle w:val="21"/>
        <w:adjustRightInd w:val="0"/>
        <w:snapToGrid w:val="0"/>
        <w:ind w:firstLine="480"/>
        <w:rPr>
          <w:rFonts w:cs="宋体"/>
          <w:bCs/>
          <w:sz w:val="24"/>
        </w:rPr>
      </w:pPr>
      <w:r>
        <w:rPr>
          <w:rFonts w:hint="eastAsia" w:cs="宋体"/>
          <w:bCs/>
          <w:sz w:val="24"/>
        </w:rPr>
        <w:t>基金财产清算账册及有关文件由基金托管人保存，保存期限不少于法律法规的规定。</w:t>
      </w:r>
    </w:p>
    <w:p>
      <w:pPr>
        <w:pStyle w:val="21"/>
        <w:adjustRightInd w:val="0"/>
        <w:snapToGrid w:val="0"/>
        <w:ind w:firstLine="480"/>
        <w:rPr>
          <w:rFonts w:cs="宋体"/>
          <w:bCs/>
          <w:sz w:val="24"/>
        </w:rPr>
      </w:pPr>
      <w:r>
        <w:rPr>
          <w:rFonts w:hint="eastAsia" w:cs="宋体"/>
          <w:bCs/>
          <w:sz w:val="24"/>
        </w:rPr>
        <w:t>四、争议解决方式</w:t>
      </w:r>
    </w:p>
    <w:p>
      <w:pPr>
        <w:pStyle w:val="21"/>
        <w:adjustRightInd w:val="0"/>
        <w:snapToGrid w:val="0"/>
        <w:ind w:firstLine="480"/>
        <w:rPr>
          <w:rFonts w:cs="宋体"/>
          <w:bCs/>
          <w:sz w:val="24"/>
        </w:rPr>
      </w:pPr>
      <w:r>
        <w:rPr>
          <w:rFonts w:hint="eastAsia" w:cs="宋体"/>
          <w:bCs/>
          <w:sz w:val="24"/>
        </w:rPr>
        <w:t>对于因基金合同的订立、内容、履行和解释或与基金合同有关的争议，基金合同当事人应尽量通过协商、调解途径解决。不愿或者不能通过协商、调解解决的，应当将争议提交上海国际经济贸易仲裁委员会，仲裁地点为上海市，按照上海国际经济贸易仲裁委员会届时有效的仲裁规则进行仲裁。仲裁裁决是终局的，对各方当事人均有约束力，仲裁费、律师费由败诉方承担，除非仲裁裁决另有决定。</w:t>
      </w:r>
    </w:p>
    <w:p>
      <w:pPr>
        <w:pStyle w:val="21"/>
        <w:adjustRightInd w:val="0"/>
        <w:snapToGrid w:val="0"/>
        <w:ind w:firstLine="480"/>
        <w:rPr>
          <w:rFonts w:cs="宋体"/>
          <w:bCs/>
          <w:sz w:val="24"/>
        </w:rPr>
      </w:pPr>
      <w:r>
        <w:rPr>
          <w:rFonts w:hint="eastAsia" w:cs="宋体"/>
          <w:bCs/>
          <w:sz w:val="24"/>
        </w:rPr>
        <w:t>争议处理期间，基金管理人及基金托管人应恪守各自的职责，继续忠实、勤勉、尽责地履行基金合同约定的义务，维护基金份额持有人的合法权益。</w:t>
      </w:r>
    </w:p>
    <w:p>
      <w:pPr>
        <w:pStyle w:val="21"/>
        <w:adjustRightInd w:val="0"/>
        <w:snapToGrid w:val="0"/>
        <w:ind w:firstLine="480"/>
        <w:rPr>
          <w:rFonts w:cs="宋体"/>
          <w:bCs/>
          <w:sz w:val="24"/>
        </w:rPr>
      </w:pPr>
      <w:r>
        <w:rPr>
          <w:rFonts w:hint="eastAsia" w:cs="宋体"/>
          <w:bCs/>
          <w:sz w:val="24"/>
        </w:rPr>
        <w:t>本基金合同受中国法律（为本基金合同之目的，不包括香港特别行政区、澳门特别行政区和台湾地区法律）管辖，并按其解释。</w:t>
      </w:r>
    </w:p>
    <w:p>
      <w:pPr>
        <w:pStyle w:val="21"/>
        <w:adjustRightInd w:val="0"/>
        <w:snapToGrid w:val="0"/>
        <w:ind w:firstLine="480"/>
        <w:rPr>
          <w:rFonts w:cs="宋体"/>
          <w:bCs/>
          <w:sz w:val="24"/>
        </w:rPr>
      </w:pPr>
      <w:r>
        <w:rPr>
          <w:rFonts w:hint="eastAsia" w:cs="宋体"/>
          <w:bCs/>
          <w:sz w:val="24"/>
        </w:rPr>
        <w:t>五、基金合同存放地和投资人取得基金合同的方式</w:t>
      </w:r>
    </w:p>
    <w:p>
      <w:pPr>
        <w:pStyle w:val="21"/>
        <w:adjustRightInd w:val="0"/>
        <w:snapToGrid w:val="0"/>
        <w:ind w:firstLine="480"/>
        <w:jc w:val="left"/>
        <w:rPr>
          <w:rFonts w:cs="Arial"/>
          <w:b/>
          <w:bCs/>
          <w:kern w:val="32"/>
          <w:sz w:val="32"/>
          <w:szCs w:val="32"/>
        </w:rPr>
      </w:pPr>
      <w:r>
        <w:rPr>
          <w:rFonts w:hint="eastAsia" w:cs="宋体"/>
          <w:bCs/>
          <w:sz w:val="24"/>
        </w:rPr>
        <w:t>基金合同可印制成册，供投资人在基金管理人、基金托管人、销售机构的办公场所和营业场所查阅。</w:t>
      </w:r>
      <w:bookmarkStart w:id="58" w:name="_Hlt88825574"/>
      <w:bookmarkEnd w:id="58"/>
      <w:bookmarkStart w:id="59" w:name="_Hlt88820702"/>
      <w:bookmarkEnd w:id="59"/>
      <w:bookmarkStart w:id="60" w:name="_Hlt88897298"/>
      <w:bookmarkEnd w:id="60"/>
    </w:p>
    <w:p>
      <w:pPr>
        <w:pStyle w:val="21"/>
        <w:adjustRightInd w:val="0"/>
        <w:snapToGrid w:val="0"/>
        <w:ind w:firstLine="0" w:firstLineChars="0"/>
        <w:jc w:val="left"/>
        <w:rPr>
          <w:rFonts w:cs="Arial"/>
          <w:b/>
          <w:bCs/>
          <w:kern w:val="32"/>
          <w:sz w:val="32"/>
          <w:szCs w:val="32"/>
        </w:rPr>
      </w:pPr>
    </w:p>
    <w:p>
      <w:pPr>
        <w:pStyle w:val="21"/>
        <w:adjustRightInd w:val="0"/>
        <w:snapToGrid w:val="0"/>
        <w:ind w:firstLine="643"/>
        <w:jc w:val="center"/>
        <w:outlineLvl w:val="0"/>
        <w:rPr>
          <w:rFonts w:cs="Arial"/>
          <w:b/>
          <w:bCs/>
          <w:kern w:val="32"/>
          <w:sz w:val="32"/>
          <w:szCs w:val="32"/>
        </w:rPr>
      </w:pPr>
      <w:bookmarkStart w:id="61" w:name="_Toc103003362"/>
      <w:r>
        <w:rPr>
          <w:rFonts w:cs="Arial"/>
          <w:b/>
          <w:bCs/>
          <w:kern w:val="32"/>
          <w:sz w:val="32"/>
          <w:szCs w:val="32"/>
        </w:rPr>
        <w:br w:type="page"/>
      </w:r>
      <w:r>
        <w:rPr>
          <w:rFonts w:cs="Arial"/>
          <w:b/>
          <w:bCs/>
          <w:kern w:val="32"/>
          <w:sz w:val="32"/>
          <w:szCs w:val="32"/>
        </w:rPr>
        <w:t>第</w:t>
      </w:r>
      <w:r>
        <w:rPr>
          <w:rFonts w:hint="eastAsia" w:cs="Arial"/>
          <w:b/>
          <w:bCs/>
          <w:kern w:val="32"/>
          <w:sz w:val="32"/>
          <w:szCs w:val="32"/>
        </w:rPr>
        <w:t>二十</w:t>
      </w:r>
      <w:r>
        <w:rPr>
          <w:rFonts w:cs="Arial"/>
          <w:b/>
          <w:bCs/>
          <w:kern w:val="32"/>
          <w:sz w:val="32"/>
          <w:szCs w:val="32"/>
        </w:rPr>
        <w:t>部分</w:t>
      </w:r>
      <w:r>
        <w:rPr>
          <w:rFonts w:hint="eastAsia" w:cs="Arial"/>
          <w:b/>
          <w:bCs/>
          <w:kern w:val="32"/>
          <w:sz w:val="32"/>
          <w:szCs w:val="32"/>
        </w:rPr>
        <w:t xml:space="preserve">  基金托管协议的内容摘要</w:t>
      </w:r>
      <w:bookmarkEnd w:id="61"/>
    </w:p>
    <w:p>
      <w:pPr>
        <w:pStyle w:val="66"/>
        <w:ind w:firstLine="0" w:firstLineChars="0"/>
        <w:jc w:val="left"/>
        <w:rPr>
          <w:rFonts w:hAnsi="宋体"/>
          <w:b w:val="0"/>
          <w:color w:val="000000"/>
          <w:sz w:val="24"/>
          <w:szCs w:val="24"/>
          <w:lang w:val="en-US"/>
        </w:rPr>
      </w:pPr>
      <w:bookmarkStart w:id="62" w:name="_Hlk139309305"/>
    </w:p>
    <w:p>
      <w:pPr>
        <w:pStyle w:val="21"/>
        <w:adjustRightInd w:val="0"/>
        <w:snapToGrid w:val="0"/>
        <w:ind w:firstLine="480"/>
        <w:rPr>
          <w:rFonts w:cs="宋体"/>
          <w:sz w:val="24"/>
          <w:szCs w:val="24"/>
        </w:rPr>
      </w:pPr>
      <w:bookmarkStart w:id="63" w:name="_Hlk130205332"/>
      <w:r>
        <w:rPr>
          <w:rFonts w:hint="eastAsia" w:cs="宋体"/>
          <w:sz w:val="24"/>
          <w:szCs w:val="24"/>
        </w:rPr>
        <w:t>一、基金托管协议当事人</w:t>
      </w:r>
    </w:p>
    <w:p>
      <w:pPr>
        <w:pStyle w:val="21"/>
        <w:adjustRightInd w:val="0"/>
        <w:snapToGrid w:val="0"/>
        <w:ind w:firstLine="480"/>
        <w:rPr>
          <w:rFonts w:cs="宋体"/>
          <w:sz w:val="24"/>
          <w:szCs w:val="24"/>
        </w:rPr>
      </w:pPr>
      <w:bookmarkStart w:id="64" w:name="_Hlk130208284"/>
      <w:r>
        <w:rPr>
          <w:rFonts w:hint="eastAsia" w:cs="宋体"/>
          <w:sz w:val="24"/>
          <w:szCs w:val="24"/>
        </w:rPr>
        <w:t>（一）基金管理人（或称“管理人”）</w:t>
      </w:r>
    </w:p>
    <w:p>
      <w:pPr>
        <w:pStyle w:val="21"/>
        <w:adjustRightInd w:val="0"/>
        <w:snapToGrid w:val="0"/>
        <w:ind w:firstLine="480"/>
        <w:rPr>
          <w:rFonts w:cs="宋体"/>
          <w:sz w:val="24"/>
          <w:szCs w:val="24"/>
        </w:rPr>
      </w:pPr>
      <w:r>
        <w:rPr>
          <w:rFonts w:hint="eastAsia" w:cs="宋体"/>
          <w:sz w:val="24"/>
          <w:szCs w:val="24"/>
        </w:rPr>
        <w:t>名称：银华基金管理股份有限公司</w:t>
      </w:r>
    </w:p>
    <w:p>
      <w:pPr>
        <w:pStyle w:val="21"/>
        <w:adjustRightInd w:val="0"/>
        <w:snapToGrid w:val="0"/>
        <w:ind w:firstLine="480"/>
        <w:rPr>
          <w:rFonts w:cs="宋体"/>
          <w:sz w:val="24"/>
          <w:szCs w:val="24"/>
        </w:rPr>
      </w:pPr>
      <w:r>
        <w:rPr>
          <w:rFonts w:hint="eastAsia" w:cs="宋体"/>
          <w:sz w:val="24"/>
          <w:szCs w:val="24"/>
        </w:rPr>
        <w:t>住所：深圳市福田区深南大道6008号特区报业大厦19层</w:t>
      </w:r>
    </w:p>
    <w:p>
      <w:pPr>
        <w:pStyle w:val="21"/>
        <w:adjustRightInd w:val="0"/>
        <w:snapToGrid w:val="0"/>
        <w:ind w:firstLine="480"/>
        <w:rPr>
          <w:rFonts w:cs="宋体"/>
          <w:sz w:val="24"/>
          <w:szCs w:val="24"/>
        </w:rPr>
      </w:pPr>
      <w:r>
        <w:rPr>
          <w:rFonts w:hint="eastAsia" w:cs="宋体"/>
          <w:sz w:val="24"/>
          <w:szCs w:val="24"/>
        </w:rPr>
        <w:t>办公地址：北京市东城区东长安街1号东方广场东方经贸城C2办公楼15层</w:t>
      </w:r>
    </w:p>
    <w:p>
      <w:pPr>
        <w:pStyle w:val="21"/>
        <w:adjustRightInd w:val="0"/>
        <w:snapToGrid w:val="0"/>
        <w:ind w:firstLine="480"/>
        <w:rPr>
          <w:rFonts w:cs="宋体"/>
          <w:sz w:val="24"/>
          <w:szCs w:val="24"/>
        </w:rPr>
      </w:pPr>
      <w:r>
        <w:rPr>
          <w:rFonts w:hint="eastAsia" w:cs="宋体"/>
          <w:sz w:val="24"/>
          <w:szCs w:val="24"/>
        </w:rPr>
        <w:t>法定代表人：王珠林</w:t>
      </w:r>
    </w:p>
    <w:p>
      <w:pPr>
        <w:pStyle w:val="21"/>
        <w:adjustRightInd w:val="0"/>
        <w:snapToGrid w:val="0"/>
        <w:ind w:firstLine="480"/>
        <w:rPr>
          <w:rFonts w:cs="宋体"/>
          <w:sz w:val="24"/>
          <w:szCs w:val="24"/>
        </w:rPr>
      </w:pPr>
      <w:r>
        <w:rPr>
          <w:rFonts w:hint="eastAsia" w:cs="宋体"/>
          <w:sz w:val="24"/>
          <w:szCs w:val="24"/>
        </w:rPr>
        <w:t>成立时间：2001年5月28日</w:t>
      </w:r>
    </w:p>
    <w:p>
      <w:pPr>
        <w:pStyle w:val="21"/>
        <w:adjustRightInd w:val="0"/>
        <w:snapToGrid w:val="0"/>
        <w:ind w:firstLine="480"/>
        <w:rPr>
          <w:rFonts w:cs="宋体"/>
          <w:sz w:val="24"/>
          <w:szCs w:val="24"/>
        </w:rPr>
      </w:pPr>
      <w:r>
        <w:rPr>
          <w:rFonts w:hint="eastAsia" w:cs="宋体"/>
          <w:sz w:val="24"/>
          <w:szCs w:val="24"/>
        </w:rPr>
        <w:t>批准设立机关及批准设立文号：中国证监会证监基金字［2001］7号</w:t>
      </w:r>
    </w:p>
    <w:p>
      <w:pPr>
        <w:pStyle w:val="21"/>
        <w:adjustRightInd w:val="0"/>
        <w:snapToGrid w:val="0"/>
        <w:ind w:firstLine="480"/>
        <w:rPr>
          <w:rFonts w:cs="宋体"/>
          <w:sz w:val="24"/>
          <w:szCs w:val="24"/>
        </w:rPr>
      </w:pPr>
      <w:r>
        <w:rPr>
          <w:rFonts w:hint="eastAsia" w:cs="宋体"/>
          <w:sz w:val="24"/>
          <w:szCs w:val="24"/>
        </w:rPr>
        <w:t>经营范围：基金募集、基金销售、资产管理、中国证监会许可的其他业务</w:t>
      </w:r>
    </w:p>
    <w:p>
      <w:pPr>
        <w:pStyle w:val="21"/>
        <w:adjustRightInd w:val="0"/>
        <w:snapToGrid w:val="0"/>
        <w:ind w:firstLine="480"/>
        <w:rPr>
          <w:rFonts w:cs="宋体"/>
          <w:sz w:val="24"/>
          <w:szCs w:val="24"/>
        </w:rPr>
      </w:pPr>
      <w:r>
        <w:rPr>
          <w:rFonts w:hint="eastAsia" w:cs="宋体"/>
          <w:sz w:val="24"/>
          <w:szCs w:val="24"/>
        </w:rPr>
        <w:t>注册资本：贰亿贰仟贰佰贰拾万元人民币</w:t>
      </w:r>
    </w:p>
    <w:p>
      <w:pPr>
        <w:pStyle w:val="21"/>
        <w:adjustRightInd w:val="0"/>
        <w:snapToGrid w:val="0"/>
        <w:ind w:firstLine="480"/>
        <w:rPr>
          <w:rFonts w:cs="宋体"/>
          <w:sz w:val="24"/>
          <w:szCs w:val="24"/>
        </w:rPr>
      </w:pPr>
      <w:r>
        <w:rPr>
          <w:rFonts w:hint="eastAsia" w:cs="宋体"/>
          <w:sz w:val="24"/>
          <w:szCs w:val="24"/>
        </w:rPr>
        <w:t>组织形式：股份有限公司</w:t>
      </w:r>
    </w:p>
    <w:p>
      <w:pPr>
        <w:pStyle w:val="21"/>
        <w:adjustRightInd w:val="0"/>
        <w:snapToGrid w:val="0"/>
        <w:ind w:firstLine="480"/>
        <w:rPr>
          <w:rFonts w:cs="宋体"/>
          <w:sz w:val="24"/>
          <w:szCs w:val="24"/>
        </w:rPr>
      </w:pPr>
      <w:r>
        <w:rPr>
          <w:rFonts w:hint="eastAsia" w:cs="宋体"/>
          <w:sz w:val="24"/>
          <w:szCs w:val="24"/>
        </w:rPr>
        <w:t>存续期间：持续经营</w:t>
      </w:r>
    </w:p>
    <w:p>
      <w:pPr>
        <w:pStyle w:val="21"/>
        <w:adjustRightInd w:val="0"/>
        <w:snapToGrid w:val="0"/>
        <w:ind w:left="420" w:firstLine="60" w:firstLineChars="25"/>
        <w:rPr>
          <w:rFonts w:cs="宋体"/>
          <w:sz w:val="24"/>
          <w:szCs w:val="24"/>
        </w:rPr>
      </w:pPr>
      <w:r>
        <w:rPr>
          <w:rFonts w:hint="eastAsia" w:cs="宋体"/>
          <w:sz w:val="24"/>
          <w:szCs w:val="24"/>
        </w:rPr>
        <w:t>（二）基金托管人（或称“托管人”）</w:t>
      </w:r>
    </w:p>
    <w:p>
      <w:pPr>
        <w:pStyle w:val="66"/>
        <w:ind w:firstLine="480"/>
        <w:rPr>
          <w:rFonts w:hAnsi="宋体"/>
          <w:b w:val="0"/>
          <w:bCs w:val="0"/>
          <w:sz w:val="24"/>
          <w:szCs w:val="24"/>
          <w:lang w:val="en-US"/>
        </w:rPr>
      </w:pPr>
      <w:r>
        <w:rPr>
          <w:rFonts w:hAnsi="宋体"/>
          <w:b w:val="0"/>
          <w:bCs w:val="0"/>
          <w:sz w:val="24"/>
          <w:szCs w:val="24"/>
          <w:lang w:val="en-US"/>
        </w:rPr>
        <w:t>名称：交通银行股份有限公司（简称：交通银行）</w:t>
      </w:r>
    </w:p>
    <w:p>
      <w:pPr>
        <w:pStyle w:val="66"/>
        <w:ind w:firstLine="480"/>
        <w:rPr>
          <w:rFonts w:hAnsi="宋体"/>
          <w:b w:val="0"/>
          <w:bCs w:val="0"/>
          <w:sz w:val="24"/>
          <w:szCs w:val="24"/>
          <w:lang w:val="en-US"/>
        </w:rPr>
      </w:pPr>
      <w:r>
        <w:rPr>
          <w:rFonts w:hAnsi="宋体"/>
          <w:b w:val="0"/>
          <w:bCs w:val="0"/>
          <w:sz w:val="24"/>
          <w:szCs w:val="24"/>
          <w:lang w:val="en-US"/>
        </w:rPr>
        <w:t>住所：中国（上海）自由贸易试验区银城中路188号（邮政编码：200120）</w:t>
      </w:r>
    </w:p>
    <w:p>
      <w:pPr>
        <w:pStyle w:val="66"/>
        <w:ind w:firstLine="480"/>
        <w:rPr>
          <w:rFonts w:hAnsi="宋体"/>
          <w:b w:val="0"/>
          <w:bCs w:val="0"/>
          <w:sz w:val="24"/>
          <w:szCs w:val="24"/>
          <w:lang w:val="en-US"/>
        </w:rPr>
      </w:pPr>
      <w:r>
        <w:rPr>
          <w:rFonts w:hAnsi="宋体"/>
          <w:b w:val="0"/>
          <w:bCs w:val="0"/>
          <w:sz w:val="24"/>
          <w:szCs w:val="24"/>
          <w:lang w:val="en-US"/>
        </w:rPr>
        <w:t>办公地址：上海市长宁区仙霞路18号（邮政编码：200336）</w:t>
      </w:r>
    </w:p>
    <w:p>
      <w:pPr>
        <w:pStyle w:val="66"/>
        <w:ind w:firstLine="480"/>
        <w:rPr>
          <w:rFonts w:hAnsi="宋体"/>
          <w:b w:val="0"/>
          <w:bCs w:val="0"/>
          <w:sz w:val="24"/>
          <w:szCs w:val="24"/>
          <w:lang w:val="en-US"/>
        </w:rPr>
      </w:pPr>
      <w:r>
        <w:rPr>
          <w:rFonts w:hAnsi="宋体"/>
          <w:b w:val="0"/>
          <w:bCs w:val="0"/>
          <w:sz w:val="24"/>
          <w:szCs w:val="24"/>
          <w:lang w:val="en-US"/>
        </w:rPr>
        <w:t>法定代表人：任德奇</w:t>
      </w:r>
    </w:p>
    <w:p>
      <w:pPr>
        <w:pStyle w:val="66"/>
        <w:ind w:firstLine="480"/>
        <w:rPr>
          <w:rFonts w:hAnsi="宋体"/>
          <w:b w:val="0"/>
          <w:bCs w:val="0"/>
          <w:sz w:val="24"/>
          <w:szCs w:val="24"/>
          <w:lang w:val="en-US"/>
        </w:rPr>
      </w:pPr>
      <w:r>
        <w:rPr>
          <w:rFonts w:hAnsi="宋体"/>
          <w:b w:val="0"/>
          <w:bCs w:val="0"/>
          <w:sz w:val="24"/>
          <w:szCs w:val="24"/>
          <w:lang w:val="en-US"/>
        </w:rPr>
        <w:t>成立时间：1987年3月30日</w:t>
      </w:r>
    </w:p>
    <w:p>
      <w:pPr>
        <w:pStyle w:val="66"/>
        <w:ind w:firstLine="480"/>
        <w:rPr>
          <w:rFonts w:hAnsi="宋体"/>
          <w:b w:val="0"/>
          <w:bCs w:val="0"/>
          <w:sz w:val="24"/>
          <w:szCs w:val="24"/>
          <w:lang w:val="en-US"/>
        </w:rPr>
      </w:pPr>
      <w:r>
        <w:rPr>
          <w:rFonts w:hAnsi="宋体"/>
          <w:b w:val="0"/>
          <w:bCs w:val="0"/>
          <w:sz w:val="24"/>
          <w:szCs w:val="24"/>
          <w:lang w:val="en-US"/>
        </w:rPr>
        <w:t>批准设立机关及批准设立文号：国务院国发(1986)字第81 号文和中国人民银行银发［1987］40号文</w:t>
      </w:r>
    </w:p>
    <w:p>
      <w:pPr>
        <w:pStyle w:val="66"/>
        <w:ind w:firstLine="480"/>
        <w:rPr>
          <w:rFonts w:hAnsi="宋体"/>
          <w:b w:val="0"/>
          <w:bCs w:val="0"/>
          <w:sz w:val="24"/>
          <w:szCs w:val="24"/>
          <w:lang w:val="en-US"/>
        </w:rPr>
      </w:pPr>
      <w:r>
        <w:rPr>
          <w:rFonts w:hAnsi="宋体"/>
          <w:b w:val="0"/>
          <w:bCs w:val="0"/>
          <w:sz w:val="24"/>
          <w:szCs w:val="24"/>
          <w:lang w:val="en-US"/>
        </w:rPr>
        <w:t>基金托管业务批准文号：中国证监会证监基字［1998］25号</w:t>
      </w:r>
    </w:p>
    <w:p>
      <w:pPr>
        <w:pStyle w:val="66"/>
        <w:ind w:firstLine="480"/>
        <w:rPr>
          <w:rFonts w:hAnsi="宋体"/>
          <w:b w:val="0"/>
          <w:bCs w:val="0"/>
          <w:sz w:val="24"/>
          <w:szCs w:val="24"/>
          <w:lang w:val="en-US"/>
        </w:rPr>
      </w:pPr>
      <w:r>
        <w:rPr>
          <w:rFonts w:hAnsi="宋体"/>
          <w:b w:val="0"/>
          <w:bCs w:val="0"/>
          <w:sz w:val="24"/>
          <w:szCs w:val="24"/>
          <w:lang w:val="en-US"/>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w:t>
      </w:r>
    </w:p>
    <w:p>
      <w:pPr>
        <w:pStyle w:val="66"/>
        <w:ind w:firstLine="480"/>
        <w:rPr>
          <w:rFonts w:hAnsi="宋体"/>
          <w:b w:val="0"/>
          <w:bCs w:val="0"/>
          <w:sz w:val="24"/>
          <w:szCs w:val="24"/>
          <w:lang w:val="en-US"/>
        </w:rPr>
      </w:pPr>
      <w:r>
        <w:rPr>
          <w:rFonts w:hAnsi="宋体"/>
          <w:b w:val="0"/>
          <w:bCs w:val="0"/>
          <w:sz w:val="24"/>
          <w:szCs w:val="24"/>
          <w:lang w:val="en-US"/>
        </w:rPr>
        <w:t>注册资本：742.63亿元人民币</w:t>
      </w:r>
    </w:p>
    <w:p>
      <w:pPr>
        <w:pStyle w:val="66"/>
        <w:ind w:firstLine="480"/>
        <w:rPr>
          <w:rFonts w:hAnsi="宋体"/>
          <w:b w:val="0"/>
          <w:bCs w:val="0"/>
          <w:sz w:val="24"/>
          <w:szCs w:val="24"/>
          <w:lang w:val="en-US"/>
        </w:rPr>
      </w:pPr>
      <w:r>
        <w:rPr>
          <w:rFonts w:hAnsi="宋体"/>
          <w:b w:val="0"/>
          <w:bCs w:val="0"/>
          <w:sz w:val="24"/>
          <w:szCs w:val="24"/>
          <w:lang w:val="en-US"/>
        </w:rPr>
        <w:t>组织形式：股份有限公司</w:t>
      </w:r>
    </w:p>
    <w:p>
      <w:pPr>
        <w:pStyle w:val="66"/>
        <w:ind w:firstLine="480"/>
        <w:rPr>
          <w:rFonts w:hAnsi="宋体"/>
          <w:b w:val="0"/>
          <w:bCs w:val="0"/>
          <w:sz w:val="24"/>
          <w:szCs w:val="24"/>
          <w:lang w:val="en-US"/>
        </w:rPr>
      </w:pPr>
      <w:r>
        <w:rPr>
          <w:rFonts w:hAnsi="宋体"/>
          <w:b w:val="0"/>
          <w:bCs w:val="0"/>
          <w:sz w:val="24"/>
          <w:szCs w:val="24"/>
          <w:lang w:val="en-US"/>
        </w:rPr>
        <w:t>存续期间：持续经营</w:t>
      </w:r>
    </w:p>
    <w:p>
      <w:pPr>
        <w:pStyle w:val="66"/>
        <w:ind w:firstLine="480"/>
        <w:rPr>
          <w:rFonts w:hAnsi="宋体"/>
          <w:b w:val="0"/>
          <w:bCs w:val="0"/>
          <w:sz w:val="24"/>
          <w:szCs w:val="24"/>
          <w:lang w:val="en-US"/>
        </w:rPr>
      </w:pPr>
      <w:r>
        <w:rPr>
          <w:rFonts w:hint="eastAsia" w:hAnsi="宋体"/>
          <w:b w:val="0"/>
          <w:bCs w:val="0"/>
          <w:color w:val="000000"/>
          <w:sz w:val="24"/>
          <w:szCs w:val="24"/>
          <w:lang w:val="en-US"/>
        </w:rPr>
        <w:t>二、基金托管人对基金</w:t>
      </w:r>
      <w:r>
        <w:rPr>
          <w:rFonts w:hint="eastAsia" w:hAnsi="宋体"/>
          <w:b w:val="0"/>
          <w:bCs w:val="0"/>
          <w:sz w:val="24"/>
          <w:szCs w:val="24"/>
          <w:lang w:val="en-US"/>
        </w:rPr>
        <w:t>管理人的业务监督和核查</w:t>
      </w:r>
    </w:p>
    <w:p>
      <w:pPr>
        <w:pStyle w:val="66"/>
        <w:ind w:firstLine="482"/>
        <w:rPr>
          <w:rFonts w:hAnsi="宋体"/>
          <w:bCs w:val="0"/>
          <w:sz w:val="24"/>
          <w:szCs w:val="24"/>
          <w:lang w:val="en-US"/>
        </w:rPr>
      </w:pPr>
      <w:r>
        <w:rPr>
          <w:rFonts w:hint="eastAsia" w:hAnsi="宋体"/>
          <w:bCs w:val="0"/>
          <w:sz w:val="24"/>
          <w:szCs w:val="24"/>
          <w:lang w:val="en-US"/>
        </w:rPr>
        <w:t>（一）基金托管人对基金管理人的投资行为行使监督权</w:t>
      </w:r>
    </w:p>
    <w:p>
      <w:pPr>
        <w:pStyle w:val="66"/>
        <w:ind w:firstLine="482"/>
        <w:rPr>
          <w:rFonts w:hAnsi="宋体"/>
          <w:sz w:val="24"/>
          <w:szCs w:val="24"/>
          <w:lang w:val="en-US"/>
        </w:rPr>
      </w:pPr>
      <w:r>
        <w:rPr>
          <w:rFonts w:hint="eastAsia" w:hAnsi="宋体"/>
          <w:bCs w:val="0"/>
          <w:sz w:val="24"/>
          <w:szCs w:val="24"/>
          <w:lang w:val="en-US"/>
        </w:rPr>
        <w:t>1</w:t>
      </w:r>
      <w:r>
        <w:rPr>
          <w:rFonts w:hAnsi="宋体"/>
          <w:bCs w:val="0"/>
          <w:sz w:val="24"/>
          <w:szCs w:val="24"/>
          <w:lang w:val="en-US"/>
        </w:rPr>
        <w:t>.</w:t>
      </w:r>
      <w:r>
        <w:rPr>
          <w:rFonts w:hAnsi="宋体"/>
          <w:sz w:val="24"/>
          <w:szCs w:val="24"/>
          <w:lang w:val="en-US"/>
        </w:rPr>
        <w:t>基金托管人根据有关法律法规的规定及《基金合同》和本托管协议的约定，对基金的投资范围、投资对象进行监督。</w:t>
      </w:r>
    </w:p>
    <w:p>
      <w:pPr>
        <w:pStyle w:val="66"/>
        <w:ind w:firstLine="480"/>
        <w:rPr>
          <w:rFonts w:hAnsi="宋体"/>
          <w:b w:val="0"/>
          <w:bCs w:val="0"/>
          <w:sz w:val="24"/>
          <w:szCs w:val="24"/>
          <w:lang w:val="en-US"/>
        </w:rPr>
      </w:pPr>
      <w:bookmarkStart w:id="65" w:name="_Hlk34829226"/>
      <w:r>
        <w:rPr>
          <w:rFonts w:hint="eastAsia" w:hAnsi="宋体"/>
          <w:b w:val="0"/>
          <w:bCs w:val="0"/>
          <w:sz w:val="24"/>
          <w:szCs w:val="24"/>
          <w:lang w:val="en-US"/>
        </w:rPr>
        <w:t>本基金以目标ETF基金份额、标的指数成份股及备选成份股为主要投资对象。此外，为更好地实现投资目标，本基金可少量投资于部分非成份股（包括主板</w:t>
      </w:r>
      <w:r>
        <w:rPr>
          <w:rFonts w:hAnsi="宋体"/>
          <w:b w:val="0"/>
          <w:bCs w:val="0"/>
          <w:sz w:val="24"/>
          <w:szCs w:val="24"/>
          <w:lang w:val="en-US"/>
        </w:rPr>
        <w:t>股票</w:t>
      </w:r>
      <w:r>
        <w:rPr>
          <w:rFonts w:hint="eastAsia" w:hAnsi="宋体"/>
          <w:b w:val="0"/>
          <w:bCs w:val="0"/>
          <w:sz w:val="24"/>
          <w:szCs w:val="24"/>
          <w:lang w:val="en-US"/>
        </w:rPr>
        <w:t>、创业板股票、科创板股票、存托凭证及其他经中国证监会核准或注册上市的股票）</w:t>
      </w:r>
      <w:r>
        <w:rPr>
          <w:rFonts w:hAnsi="宋体"/>
          <w:b w:val="0"/>
          <w:bCs w:val="0"/>
          <w:sz w:val="24"/>
          <w:szCs w:val="24"/>
          <w:lang w:val="en-US"/>
        </w:rPr>
        <w:t>、</w:t>
      </w:r>
      <w:r>
        <w:rPr>
          <w:rFonts w:hint="eastAsia" w:hAnsi="宋体"/>
          <w:b w:val="0"/>
          <w:bCs w:val="0"/>
          <w:sz w:val="24"/>
          <w:szCs w:val="24"/>
          <w:lang w:val="en-US"/>
        </w:rPr>
        <w:t>债券资产（包括国债、金融债券、企业债券、公司债券、公开发行的次级债券、可转换公司债券、分离交易可转换公司债券、央行票据、短期融资券、超短期融资券、地方政府债</w:t>
      </w:r>
      <w:r>
        <w:rPr>
          <w:rFonts w:hAnsi="宋体"/>
          <w:b w:val="0"/>
          <w:bCs w:val="0"/>
          <w:sz w:val="24"/>
          <w:szCs w:val="24"/>
          <w:lang w:val="en-US"/>
        </w:rPr>
        <w:t>券、政府支持机构债券</w:t>
      </w:r>
      <w:r>
        <w:rPr>
          <w:rFonts w:hint="eastAsia" w:hAnsi="宋体"/>
          <w:b w:val="0"/>
          <w:bCs w:val="0"/>
          <w:sz w:val="24"/>
          <w:szCs w:val="24"/>
          <w:lang w:val="en-US"/>
        </w:rPr>
        <w:t>、中期票据、可交换债券以及其他中国证监会允许投资的债券）、银行存款（包括银行定期存款、协议存款及其他银行存款）、资产支持证券、债券回购、同业存单、现金、衍生工具（股指期货、股票期权）以及法律法规或中国证监会允许基金投资的其他金融工具，但须符合中国证监会相关规定。</w:t>
      </w:r>
    </w:p>
    <w:p>
      <w:pPr>
        <w:pStyle w:val="66"/>
        <w:ind w:firstLine="480"/>
        <w:rPr>
          <w:rFonts w:hAnsi="宋体"/>
          <w:b w:val="0"/>
          <w:bCs w:val="0"/>
          <w:sz w:val="24"/>
          <w:szCs w:val="24"/>
          <w:lang w:val="en-US"/>
        </w:rPr>
      </w:pPr>
      <w:r>
        <w:rPr>
          <w:rFonts w:hint="eastAsia" w:hAnsi="宋体"/>
          <w:b w:val="0"/>
          <w:bCs w:val="0"/>
          <w:sz w:val="24"/>
          <w:szCs w:val="24"/>
          <w:lang w:val="en-US"/>
        </w:rPr>
        <w:t>本基金可以根据相关法律法规，参与融资及转融通证券出借业务，以提高投资效率及进行风险管理。</w:t>
      </w:r>
    </w:p>
    <w:p>
      <w:pPr>
        <w:pStyle w:val="66"/>
        <w:ind w:firstLine="480"/>
        <w:rPr>
          <w:rFonts w:hAnsi="宋体"/>
          <w:b w:val="0"/>
          <w:bCs w:val="0"/>
          <w:sz w:val="24"/>
          <w:szCs w:val="24"/>
          <w:lang w:val="en-US"/>
        </w:rPr>
      </w:pPr>
      <w:r>
        <w:rPr>
          <w:rFonts w:hint="eastAsia" w:hAnsi="宋体"/>
          <w:b w:val="0"/>
          <w:bCs w:val="0"/>
          <w:sz w:val="24"/>
          <w:szCs w:val="24"/>
          <w:lang w:val="en-US"/>
        </w:rPr>
        <w:t>如法律法规或监管机构以后允许基金投资其他品种，基金管理人在履行适当程序后，可以将其纳入投资范围，其投资原则及投资比例限制按法律法规或监管机构的相关规定执行。</w:t>
      </w:r>
    </w:p>
    <w:p>
      <w:pPr>
        <w:pStyle w:val="66"/>
        <w:ind w:firstLine="480"/>
        <w:rPr>
          <w:rFonts w:hAnsi="宋体"/>
          <w:b w:val="0"/>
          <w:bCs w:val="0"/>
          <w:sz w:val="24"/>
          <w:szCs w:val="24"/>
          <w:lang w:val="en-US"/>
        </w:rPr>
      </w:pPr>
      <w:r>
        <w:rPr>
          <w:rFonts w:hint="eastAsia" w:hAnsi="宋体"/>
          <w:b w:val="0"/>
          <w:bCs w:val="0"/>
          <w:sz w:val="24"/>
          <w:szCs w:val="24"/>
          <w:lang w:val="en-US"/>
        </w:rPr>
        <w:t>基金的投资组合比例为：本基金投资于目标ETF的比例不低于基金资产净值的90%，每个交易日日终在扣除股指期货合约、股票期权合约需缴纳的交易保证金后，保持不低于基金资产净值5%的现金或者到期日在一年以内的政府债券，其中，现金不包括结算备付金、存出保证金和应收申购款等。</w:t>
      </w:r>
    </w:p>
    <w:p>
      <w:pPr>
        <w:pStyle w:val="66"/>
        <w:ind w:firstLine="480"/>
        <w:rPr>
          <w:rFonts w:hAnsi="宋体"/>
          <w:b w:val="0"/>
          <w:bCs w:val="0"/>
          <w:sz w:val="24"/>
          <w:szCs w:val="24"/>
          <w:lang w:val="en-US"/>
        </w:rPr>
      </w:pPr>
      <w:r>
        <w:rPr>
          <w:rFonts w:hint="eastAsia" w:hAnsi="宋体"/>
          <w:b w:val="0"/>
          <w:bCs w:val="0"/>
          <w:sz w:val="24"/>
          <w:szCs w:val="24"/>
          <w:lang w:val="en-US"/>
        </w:rPr>
        <w:t>如法律法规或监管机构变更相关投资品种的投资比例限制，基金管理人在履行适当程序后，可以调整上述投资品种的投资比例或按变更后的规定执行。</w:t>
      </w:r>
      <w:bookmarkEnd w:id="65"/>
    </w:p>
    <w:p>
      <w:pPr>
        <w:pStyle w:val="66"/>
        <w:ind w:firstLine="482"/>
        <w:rPr>
          <w:rFonts w:hAnsi="宋体"/>
          <w:sz w:val="24"/>
          <w:szCs w:val="24"/>
          <w:lang w:val="en-US"/>
        </w:rPr>
      </w:pPr>
      <w:r>
        <w:rPr>
          <w:rFonts w:hint="eastAsia" w:hAnsi="宋体"/>
          <w:bCs w:val="0"/>
          <w:sz w:val="24"/>
          <w:szCs w:val="24"/>
          <w:lang w:val="en-US"/>
        </w:rPr>
        <w:t>2</w:t>
      </w:r>
      <w:r>
        <w:rPr>
          <w:rFonts w:hAnsi="宋体"/>
          <w:bCs w:val="0"/>
          <w:sz w:val="24"/>
          <w:szCs w:val="24"/>
          <w:lang w:val="en-US"/>
        </w:rPr>
        <w:t>.</w:t>
      </w:r>
      <w:r>
        <w:rPr>
          <w:rFonts w:hAnsi="宋体"/>
          <w:sz w:val="24"/>
          <w:szCs w:val="24"/>
          <w:lang w:val="en-US"/>
        </w:rPr>
        <w:t>基金托管人根据有关法律法规的规定及《基金合同》和本托管协议的约定，对基金投资、融资比例进行监督。</w:t>
      </w:r>
    </w:p>
    <w:p>
      <w:pPr>
        <w:pStyle w:val="66"/>
        <w:ind w:firstLine="480"/>
        <w:rPr>
          <w:rFonts w:hAnsi="宋体"/>
          <w:b w:val="0"/>
          <w:bCs w:val="0"/>
          <w:sz w:val="24"/>
          <w:szCs w:val="24"/>
          <w:lang w:val="en-US"/>
        </w:rPr>
      </w:pPr>
      <w:r>
        <w:rPr>
          <w:rFonts w:hAnsi="宋体"/>
          <w:b w:val="0"/>
          <w:bCs w:val="0"/>
          <w:sz w:val="24"/>
          <w:szCs w:val="24"/>
          <w:lang w:val="en-US"/>
        </w:rPr>
        <w:t>根据《基金合同》的约定，本基金投资组合比例应符合以下规定：</w:t>
      </w:r>
    </w:p>
    <w:p>
      <w:pPr>
        <w:pStyle w:val="66"/>
        <w:ind w:firstLine="480"/>
        <w:rPr>
          <w:rFonts w:hAnsi="宋体"/>
          <w:b w:val="0"/>
          <w:bCs w:val="0"/>
          <w:sz w:val="24"/>
          <w:szCs w:val="24"/>
          <w:lang w:val="en-US"/>
        </w:rPr>
      </w:pPr>
      <w:r>
        <w:rPr>
          <w:rFonts w:hint="eastAsia" w:hAnsi="宋体"/>
          <w:b w:val="0"/>
          <w:bCs w:val="0"/>
          <w:sz w:val="24"/>
          <w:szCs w:val="24"/>
          <w:lang w:val="en-US"/>
        </w:rPr>
        <w:t>（1）本基金持有的目标ETF的比例不得低于基金资产净值的90%；</w:t>
      </w:r>
    </w:p>
    <w:p>
      <w:pPr>
        <w:pStyle w:val="66"/>
        <w:ind w:firstLine="480"/>
        <w:rPr>
          <w:rFonts w:hAnsi="宋体"/>
          <w:b w:val="0"/>
          <w:bCs w:val="0"/>
          <w:sz w:val="24"/>
          <w:szCs w:val="24"/>
          <w:lang w:val="en-US"/>
        </w:rPr>
      </w:pPr>
      <w:r>
        <w:rPr>
          <w:rFonts w:hint="eastAsia" w:hAnsi="宋体"/>
          <w:b w:val="0"/>
          <w:bCs w:val="0"/>
          <w:sz w:val="24"/>
          <w:szCs w:val="24"/>
          <w:lang w:val="en-US"/>
        </w:rPr>
        <w:t>（2）每个交易日日终在扣除股指期货合约、股票期权合约需缴纳的交易保证金后，保持不低于基金资产净值5%的现金或者到期日在一年以内的政府债券，其中现金不包括结算备付金、存出保证金和应收申购款等；</w:t>
      </w:r>
    </w:p>
    <w:p>
      <w:pPr>
        <w:pStyle w:val="66"/>
        <w:ind w:firstLine="480"/>
        <w:rPr>
          <w:rFonts w:hAnsi="宋体"/>
          <w:b w:val="0"/>
          <w:bCs w:val="0"/>
          <w:sz w:val="24"/>
          <w:szCs w:val="24"/>
          <w:lang w:val="en-US"/>
        </w:rPr>
      </w:pPr>
      <w:r>
        <w:rPr>
          <w:rFonts w:hint="eastAsia" w:hAnsi="宋体"/>
          <w:b w:val="0"/>
          <w:bCs w:val="0"/>
          <w:sz w:val="24"/>
          <w:szCs w:val="24"/>
          <w:lang w:val="en-US"/>
        </w:rPr>
        <w:t>（3）本基金投资于股指期货，需遵循以下投资比例限制：</w:t>
      </w:r>
    </w:p>
    <w:p>
      <w:pPr>
        <w:pStyle w:val="66"/>
        <w:ind w:firstLine="480"/>
        <w:rPr>
          <w:rFonts w:hAnsi="宋体"/>
          <w:b w:val="0"/>
          <w:bCs w:val="0"/>
          <w:sz w:val="24"/>
          <w:szCs w:val="24"/>
          <w:lang w:val="en-US"/>
        </w:rPr>
      </w:pPr>
      <w:r>
        <w:rPr>
          <w:rFonts w:hAnsi="宋体"/>
          <w:b w:val="0"/>
          <w:bCs w:val="0"/>
          <w:sz w:val="24"/>
          <w:szCs w:val="24"/>
          <w:lang w:val="en-US"/>
        </w:rPr>
        <w:t>在任何交易日日终，持有的买入股指期货合约价值，不得超过基金资产净值的10%；在任何交易日日终，持有的买入期货合约价值与有价证券市值之和，不得超过基金资产净值的100%，其中，有价证券指股票、目标ETF、债券（不含到期日在一年以内的政府债券）、资产支持证券、买入返售金融资产（不含质押式回购）等；基金在任何交易日日终，持有的卖出期货合约价值不得超过基金持有的股票和目标ETF总市值的20%；本基金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pPr>
        <w:pStyle w:val="66"/>
        <w:ind w:firstLine="480"/>
        <w:rPr>
          <w:rFonts w:hAnsi="宋体"/>
          <w:b w:val="0"/>
          <w:bCs w:val="0"/>
          <w:sz w:val="24"/>
          <w:szCs w:val="24"/>
          <w:lang w:val="en-US"/>
        </w:rPr>
      </w:pPr>
      <w:r>
        <w:rPr>
          <w:rFonts w:hint="eastAsia" w:hAnsi="宋体"/>
          <w:b w:val="0"/>
          <w:bCs w:val="0"/>
          <w:sz w:val="24"/>
          <w:szCs w:val="24"/>
          <w:lang w:val="en-US"/>
        </w:rPr>
        <w:t>（4）本基金参与股票期权交易，需遵守下列投资比例限制：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pPr>
        <w:pStyle w:val="66"/>
        <w:ind w:firstLine="480"/>
        <w:rPr>
          <w:rFonts w:hAnsi="宋体"/>
          <w:b w:val="0"/>
          <w:bCs w:val="0"/>
          <w:sz w:val="24"/>
          <w:szCs w:val="24"/>
          <w:lang w:val="en-US"/>
        </w:rPr>
      </w:pPr>
      <w:r>
        <w:rPr>
          <w:rFonts w:hint="eastAsia" w:hAnsi="宋体"/>
          <w:b w:val="0"/>
          <w:bCs w:val="0"/>
          <w:sz w:val="24"/>
          <w:szCs w:val="24"/>
          <w:lang w:val="en-US"/>
        </w:rPr>
        <w:t>（5）基金财产参与股票发行申购，本基金所申报的金额不超过本基金的总资产，本基金所申报的股票数量不超过拟发行股票公司本次发行股票的总量；</w:t>
      </w:r>
    </w:p>
    <w:p>
      <w:pPr>
        <w:pStyle w:val="66"/>
        <w:ind w:firstLine="480"/>
        <w:rPr>
          <w:rFonts w:hAnsi="宋体"/>
          <w:b w:val="0"/>
          <w:bCs w:val="0"/>
          <w:sz w:val="24"/>
          <w:szCs w:val="24"/>
          <w:lang w:val="en-US"/>
        </w:rPr>
      </w:pPr>
      <w:r>
        <w:rPr>
          <w:rFonts w:hint="eastAsia" w:hAnsi="宋体"/>
          <w:b w:val="0"/>
          <w:bCs w:val="0"/>
          <w:sz w:val="24"/>
          <w:szCs w:val="24"/>
          <w:lang w:val="en-US"/>
        </w:rPr>
        <w:t>（6）本基金资产总值不超过基金资产净值的140%；</w:t>
      </w:r>
    </w:p>
    <w:p>
      <w:pPr>
        <w:pStyle w:val="66"/>
        <w:ind w:firstLine="480"/>
        <w:rPr>
          <w:rFonts w:hAnsi="宋体"/>
          <w:b w:val="0"/>
          <w:bCs w:val="0"/>
          <w:sz w:val="24"/>
          <w:szCs w:val="24"/>
          <w:lang w:val="en-US"/>
        </w:rPr>
      </w:pPr>
      <w:r>
        <w:rPr>
          <w:rFonts w:hint="eastAsia" w:hAnsi="宋体"/>
          <w:b w:val="0"/>
          <w:bCs w:val="0"/>
          <w:sz w:val="24"/>
          <w:szCs w:val="24"/>
          <w:lang w:val="en-US"/>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pPr>
        <w:pStyle w:val="66"/>
        <w:ind w:firstLine="480"/>
        <w:rPr>
          <w:rFonts w:hAnsi="宋体"/>
          <w:b w:val="0"/>
          <w:bCs w:val="0"/>
          <w:sz w:val="24"/>
          <w:szCs w:val="24"/>
          <w:lang w:val="en-US"/>
        </w:rPr>
      </w:pPr>
      <w:r>
        <w:rPr>
          <w:rFonts w:hint="eastAsia" w:hAnsi="宋体"/>
          <w:b w:val="0"/>
          <w:bCs w:val="0"/>
          <w:sz w:val="24"/>
          <w:szCs w:val="24"/>
          <w:lang w:val="en-US"/>
        </w:rPr>
        <w:t>（8）本基金与私募类证券资管产品及中国证监会认定的其他主体为交易对手开展逆回购交易的，可接受质押品的资质要求应当与基金合同约定的投资范围保持一致；</w:t>
      </w:r>
    </w:p>
    <w:p>
      <w:pPr>
        <w:pStyle w:val="66"/>
        <w:ind w:firstLine="480"/>
        <w:rPr>
          <w:rFonts w:hAnsi="宋体"/>
          <w:b w:val="0"/>
          <w:bCs w:val="0"/>
          <w:sz w:val="24"/>
          <w:szCs w:val="24"/>
          <w:lang w:val="en-US"/>
        </w:rPr>
      </w:pPr>
      <w:r>
        <w:rPr>
          <w:rFonts w:hint="eastAsia" w:hAnsi="宋体"/>
          <w:b w:val="0"/>
          <w:bCs w:val="0"/>
          <w:sz w:val="24"/>
          <w:szCs w:val="24"/>
          <w:lang w:val="en-US"/>
        </w:rPr>
        <w:t>（9）本基金参与融资的，每个交易日日终，本基金持有的融资买入股票与其他有价证券市值之和，不得超过基金资产净值的95%；</w:t>
      </w:r>
    </w:p>
    <w:p>
      <w:pPr>
        <w:pStyle w:val="66"/>
        <w:ind w:firstLine="480"/>
        <w:rPr>
          <w:rFonts w:hAnsi="宋体"/>
          <w:b w:val="0"/>
          <w:bCs w:val="0"/>
          <w:sz w:val="24"/>
          <w:szCs w:val="24"/>
          <w:lang w:val="en-US"/>
        </w:rPr>
      </w:pPr>
      <w:r>
        <w:rPr>
          <w:rFonts w:hint="eastAsia" w:hAnsi="宋体"/>
          <w:b w:val="0"/>
          <w:bCs w:val="0"/>
          <w:sz w:val="24"/>
          <w:szCs w:val="24"/>
          <w:lang w:val="en-US"/>
        </w:rPr>
        <w:t>（1</w:t>
      </w:r>
      <w:r>
        <w:rPr>
          <w:rFonts w:hAnsi="宋体"/>
          <w:b w:val="0"/>
          <w:bCs w:val="0"/>
          <w:sz w:val="24"/>
          <w:szCs w:val="24"/>
          <w:lang w:val="en-US"/>
        </w:rPr>
        <w:t>0</w:t>
      </w:r>
      <w:r>
        <w:rPr>
          <w:rFonts w:hint="eastAsia" w:hAnsi="宋体"/>
          <w:b w:val="0"/>
          <w:bCs w:val="0"/>
          <w:sz w:val="24"/>
          <w:szCs w:val="24"/>
          <w:lang w:val="en-US"/>
        </w:rPr>
        <w:t>）本基金参与转融通证券出借业务的，应当符合下列要求：</w:t>
      </w:r>
    </w:p>
    <w:p>
      <w:pPr>
        <w:pStyle w:val="66"/>
        <w:ind w:firstLine="480"/>
        <w:rPr>
          <w:rFonts w:hAnsi="宋体"/>
          <w:b w:val="0"/>
          <w:bCs w:val="0"/>
          <w:sz w:val="24"/>
          <w:szCs w:val="24"/>
          <w:lang w:val="en-US"/>
        </w:rPr>
      </w:pPr>
      <w:r>
        <w:rPr>
          <w:rFonts w:hint="eastAsia" w:hAnsi="宋体"/>
          <w:b w:val="0"/>
          <w:bCs w:val="0"/>
          <w:sz w:val="24"/>
          <w:szCs w:val="24"/>
          <w:lang w:val="en-US"/>
        </w:rPr>
        <w:t>1）参与转融通证券出借业务的资产，不得超过基金资产净值的30%，其中，出借期限在10个交易日以上的出借证券，纳入《流动性风险管理规定》所述流动性受限证券的范围；</w:t>
      </w:r>
    </w:p>
    <w:p>
      <w:pPr>
        <w:pStyle w:val="66"/>
        <w:ind w:firstLine="480"/>
        <w:rPr>
          <w:rFonts w:hAnsi="宋体"/>
          <w:b w:val="0"/>
          <w:bCs w:val="0"/>
          <w:sz w:val="24"/>
          <w:szCs w:val="24"/>
          <w:lang w:val="en-US"/>
        </w:rPr>
      </w:pPr>
      <w:r>
        <w:rPr>
          <w:rFonts w:hint="eastAsia" w:hAnsi="宋体"/>
          <w:b w:val="0"/>
          <w:bCs w:val="0"/>
          <w:sz w:val="24"/>
          <w:szCs w:val="24"/>
          <w:lang w:val="en-US"/>
        </w:rPr>
        <w:t>2）参与转融通证券出借业务的单只证券不得超过基金持有该证券总量的50%；</w:t>
      </w:r>
    </w:p>
    <w:p>
      <w:pPr>
        <w:pStyle w:val="66"/>
        <w:ind w:firstLine="480"/>
        <w:rPr>
          <w:rFonts w:hAnsi="宋体"/>
          <w:b w:val="0"/>
          <w:bCs w:val="0"/>
          <w:sz w:val="24"/>
          <w:szCs w:val="24"/>
          <w:lang w:val="en-US"/>
        </w:rPr>
      </w:pPr>
      <w:r>
        <w:rPr>
          <w:rFonts w:hint="eastAsia" w:hAnsi="宋体"/>
          <w:b w:val="0"/>
          <w:bCs w:val="0"/>
          <w:sz w:val="24"/>
          <w:szCs w:val="24"/>
          <w:lang w:val="en-US"/>
        </w:rPr>
        <w:t>3）最近6个月内日均基金资产净值不得低于2亿元；</w:t>
      </w:r>
    </w:p>
    <w:p>
      <w:pPr>
        <w:pStyle w:val="66"/>
        <w:ind w:firstLine="480"/>
        <w:rPr>
          <w:rFonts w:hAnsi="宋体"/>
          <w:b w:val="0"/>
          <w:bCs w:val="0"/>
          <w:sz w:val="24"/>
          <w:szCs w:val="24"/>
          <w:lang w:val="en-US"/>
        </w:rPr>
      </w:pPr>
      <w:r>
        <w:rPr>
          <w:rFonts w:hint="eastAsia" w:hAnsi="宋体"/>
          <w:b w:val="0"/>
          <w:bCs w:val="0"/>
          <w:sz w:val="24"/>
          <w:szCs w:val="24"/>
          <w:lang w:val="en-US"/>
        </w:rPr>
        <w:t>4）证券出借的平均剩余期限不得超过30天，平均剩余期限按照市值加权平均计算；</w:t>
      </w:r>
    </w:p>
    <w:p>
      <w:pPr>
        <w:pStyle w:val="66"/>
        <w:ind w:firstLine="480"/>
        <w:rPr>
          <w:rFonts w:hAnsi="宋体"/>
          <w:b w:val="0"/>
          <w:bCs w:val="0"/>
          <w:sz w:val="24"/>
          <w:szCs w:val="24"/>
          <w:lang w:val="en-US"/>
        </w:rPr>
      </w:pPr>
      <w:r>
        <w:rPr>
          <w:rFonts w:hint="eastAsia" w:hAnsi="宋体"/>
          <w:b w:val="0"/>
          <w:bCs w:val="0"/>
          <w:sz w:val="24"/>
          <w:szCs w:val="24"/>
          <w:lang w:val="en-US"/>
        </w:rPr>
        <w:t>（1</w:t>
      </w:r>
      <w:r>
        <w:rPr>
          <w:rFonts w:hAnsi="宋体"/>
          <w:b w:val="0"/>
          <w:bCs w:val="0"/>
          <w:sz w:val="24"/>
          <w:szCs w:val="24"/>
          <w:lang w:val="en-US"/>
        </w:rPr>
        <w:t>1</w:t>
      </w:r>
      <w:r>
        <w:rPr>
          <w:rFonts w:hint="eastAsia" w:hAnsi="宋体"/>
          <w:b w:val="0"/>
          <w:bCs w:val="0"/>
          <w:sz w:val="24"/>
          <w:szCs w:val="24"/>
          <w:lang w:val="en-US"/>
        </w:rPr>
        <w:t>）本基金投资于同一原始权益人的各类资产支持证券的比例，不得超过基金资产净值的10%；本基金持有的全部资产支持证券，其市值不得超过基金资产净值的20%，中国证监会规定的特殊品种除外；</w:t>
      </w:r>
    </w:p>
    <w:p>
      <w:pPr>
        <w:pStyle w:val="66"/>
        <w:ind w:firstLine="480"/>
        <w:rPr>
          <w:rFonts w:hAnsi="宋体"/>
          <w:b w:val="0"/>
          <w:bCs w:val="0"/>
          <w:sz w:val="24"/>
          <w:szCs w:val="24"/>
          <w:lang w:val="en-US"/>
        </w:rPr>
      </w:pPr>
      <w:r>
        <w:rPr>
          <w:rFonts w:hint="eastAsia" w:hAnsi="宋体"/>
          <w:b w:val="0"/>
          <w:bCs w:val="0"/>
          <w:sz w:val="24"/>
          <w:szCs w:val="24"/>
          <w:lang w:val="en-US"/>
        </w:rPr>
        <w:t>（1</w:t>
      </w:r>
      <w:r>
        <w:rPr>
          <w:rFonts w:hAnsi="宋体"/>
          <w:b w:val="0"/>
          <w:bCs w:val="0"/>
          <w:sz w:val="24"/>
          <w:szCs w:val="24"/>
          <w:lang w:val="en-US"/>
        </w:rPr>
        <w:t>2</w:t>
      </w:r>
      <w:r>
        <w:rPr>
          <w:rFonts w:hint="eastAsia" w:hAnsi="宋体"/>
          <w:b w:val="0"/>
          <w:bCs w:val="0"/>
          <w:sz w:val="24"/>
          <w:szCs w:val="24"/>
          <w:lang w:val="en-US"/>
        </w:rPr>
        <w:t>）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pPr>
        <w:pStyle w:val="66"/>
        <w:ind w:firstLine="480"/>
        <w:rPr>
          <w:rFonts w:hAnsi="宋体"/>
          <w:b w:val="0"/>
          <w:bCs w:val="0"/>
          <w:sz w:val="24"/>
          <w:szCs w:val="24"/>
          <w:lang w:val="en-US"/>
        </w:rPr>
      </w:pPr>
      <w:r>
        <w:rPr>
          <w:rFonts w:hint="eastAsia" w:hAnsi="宋体"/>
          <w:b w:val="0"/>
          <w:bCs w:val="0"/>
          <w:sz w:val="24"/>
          <w:szCs w:val="24"/>
          <w:lang w:val="en-US"/>
        </w:rPr>
        <w:t>（1</w:t>
      </w:r>
      <w:r>
        <w:rPr>
          <w:rFonts w:hAnsi="宋体"/>
          <w:b w:val="0"/>
          <w:bCs w:val="0"/>
          <w:sz w:val="24"/>
          <w:szCs w:val="24"/>
          <w:lang w:val="en-US"/>
        </w:rPr>
        <w:t>3</w:t>
      </w:r>
      <w:r>
        <w:rPr>
          <w:rFonts w:hint="eastAsia" w:hAnsi="宋体"/>
          <w:b w:val="0"/>
          <w:bCs w:val="0"/>
          <w:sz w:val="24"/>
          <w:szCs w:val="24"/>
          <w:lang w:val="en-US"/>
        </w:rPr>
        <w:t>）本基金应投资于信用级别评级为BBB以上（含BBB）的资产支持证券。基金持有资产支持证券期间，如果其信用等级下降、不再符合投资标准，应在评级报告发布之日起3个月内予以全部卖出；</w:t>
      </w:r>
    </w:p>
    <w:p>
      <w:pPr>
        <w:pStyle w:val="66"/>
        <w:ind w:firstLine="480"/>
        <w:rPr>
          <w:rFonts w:hAnsi="宋体"/>
          <w:b w:val="0"/>
          <w:bCs w:val="0"/>
          <w:sz w:val="24"/>
          <w:szCs w:val="24"/>
          <w:lang w:val="en-US"/>
        </w:rPr>
      </w:pPr>
      <w:r>
        <w:rPr>
          <w:rFonts w:hint="eastAsia" w:hAnsi="宋体"/>
          <w:b w:val="0"/>
          <w:bCs w:val="0"/>
          <w:sz w:val="24"/>
          <w:szCs w:val="24"/>
          <w:lang w:val="en-US"/>
        </w:rPr>
        <w:t>（1</w:t>
      </w:r>
      <w:r>
        <w:rPr>
          <w:rFonts w:hAnsi="宋体"/>
          <w:b w:val="0"/>
          <w:bCs w:val="0"/>
          <w:sz w:val="24"/>
          <w:szCs w:val="24"/>
          <w:lang w:val="en-US"/>
        </w:rPr>
        <w:t>4</w:t>
      </w:r>
      <w:r>
        <w:rPr>
          <w:rFonts w:hint="eastAsia" w:hAnsi="宋体"/>
          <w:b w:val="0"/>
          <w:bCs w:val="0"/>
          <w:sz w:val="24"/>
          <w:szCs w:val="24"/>
          <w:lang w:val="en-US"/>
        </w:rPr>
        <w:t>）本基金投资存托凭证的比例限制依照境内上市交易的股票执行，与境内上市交易的股票合并计算；</w:t>
      </w:r>
    </w:p>
    <w:p>
      <w:pPr>
        <w:pStyle w:val="66"/>
        <w:ind w:firstLine="480"/>
        <w:rPr>
          <w:rFonts w:hAnsi="宋体"/>
          <w:b w:val="0"/>
          <w:bCs w:val="0"/>
          <w:sz w:val="24"/>
          <w:szCs w:val="24"/>
          <w:lang w:val="en-US"/>
        </w:rPr>
      </w:pPr>
      <w:r>
        <w:rPr>
          <w:rFonts w:hint="eastAsia" w:hAnsi="宋体"/>
          <w:b w:val="0"/>
          <w:bCs w:val="0"/>
          <w:sz w:val="24"/>
          <w:szCs w:val="24"/>
          <w:lang w:val="en-US"/>
        </w:rPr>
        <w:t>（1</w:t>
      </w:r>
      <w:r>
        <w:rPr>
          <w:rFonts w:hAnsi="宋体"/>
          <w:b w:val="0"/>
          <w:bCs w:val="0"/>
          <w:sz w:val="24"/>
          <w:szCs w:val="24"/>
          <w:lang w:val="en-US"/>
        </w:rPr>
        <w:t>5</w:t>
      </w:r>
      <w:r>
        <w:rPr>
          <w:rFonts w:hint="eastAsia" w:hAnsi="宋体"/>
          <w:b w:val="0"/>
          <w:bCs w:val="0"/>
          <w:sz w:val="24"/>
          <w:szCs w:val="24"/>
          <w:lang w:val="en-US"/>
        </w:rPr>
        <w:t>）法律法规及中国证监会规定的和《基金合同》约定的其他投资限制。</w:t>
      </w:r>
    </w:p>
    <w:p>
      <w:pPr>
        <w:pStyle w:val="66"/>
        <w:ind w:firstLine="480"/>
        <w:rPr>
          <w:rFonts w:hAnsi="宋体"/>
          <w:b w:val="0"/>
          <w:bCs w:val="0"/>
          <w:sz w:val="24"/>
          <w:szCs w:val="24"/>
          <w:lang w:val="en-US"/>
        </w:rPr>
      </w:pPr>
      <w:r>
        <w:rPr>
          <w:rFonts w:hint="eastAsia" w:hAnsi="宋体"/>
          <w:b w:val="0"/>
          <w:bCs w:val="0"/>
          <w:sz w:val="24"/>
          <w:szCs w:val="24"/>
          <w:lang w:val="en-US"/>
        </w:rPr>
        <w:t>除上述（1）、（2）、（</w:t>
      </w:r>
      <w:r>
        <w:rPr>
          <w:rFonts w:hAnsi="宋体"/>
          <w:b w:val="0"/>
          <w:bCs w:val="0"/>
          <w:sz w:val="24"/>
          <w:szCs w:val="24"/>
          <w:lang w:val="en-US"/>
        </w:rPr>
        <w:t>7</w:t>
      </w:r>
      <w:r>
        <w:rPr>
          <w:rFonts w:hint="eastAsia" w:hAnsi="宋体"/>
          <w:b w:val="0"/>
          <w:bCs w:val="0"/>
          <w:sz w:val="24"/>
          <w:szCs w:val="24"/>
          <w:lang w:val="en-US"/>
        </w:rPr>
        <w:t>）、（</w:t>
      </w:r>
      <w:r>
        <w:rPr>
          <w:rFonts w:hAnsi="宋体"/>
          <w:b w:val="0"/>
          <w:bCs w:val="0"/>
          <w:sz w:val="24"/>
          <w:szCs w:val="24"/>
          <w:lang w:val="en-US"/>
        </w:rPr>
        <w:t>8</w:t>
      </w:r>
      <w:r>
        <w:rPr>
          <w:rFonts w:hint="eastAsia" w:hAnsi="宋体"/>
          <w:b w:val="0"/>
          <w:bCs w:val="0"/>
          <w:sz w:val="24"/>
          <w:szCs w:val="24"/>
          <w:lang w:val="en-US"/>
        </w:rPr>
        <w:t>）、（</w:t>
      </w:r>
      <w:r>
        <w:rPr>
          <w:rFonts w:hAnsi="宋体"/>
          <w:b w:val="0"/>
          <w:bCs w:val="0"/>
          <w:sz w:val="24"/>
          <w:szCs w:val="24"/>
          <w:lang w:val="en-US"/>
        </w:rPr>
        <w:t>10</w:t>
      </w:r>
      <w:r>
        <w:rPr>
          <w:rFonts w:hint="eastAsia" w:hAnsi="宋体"/>
          <w:b w:val="0"/>
          <w:bCs w:val="0"/>
          <w:sz w:val="24"/>
          <w:szCs w:val="24"/>
          <w:lang w:val="en-US"/>
        </w:rPr>
        <w:t>）、（1</w:t>
      </w:r>
      <w:r>
        <w:rPr>
          <w:rFonts w:hAnsi="宋体"/>
          <w:b w:val="0"/>
          <w:bCs w:val="0"/>
          <w:sz w:val="24"/>
          <w:szCs w:val="24"/>
          <w:lang w:val="en-US"/>
        </w:rPr>
        <w:t>3）项情形之外，因证券市场及期货市场波动、证券发行人合并、基金规模变动、标的指数成份股调整、标的指数成份股流动性限制、目标ETF暂停申购、赎回或二级市场交易停牌等基金管理人之外的因素致使基金投资比例不符合上述规定投资比例的，基金管理人应当在10个交易日内进行调整，但中国证监会规定的特殊情形除外。因证券市场及期货市场波动、证券发行人合并、基金规模变动、标的指数成份股调整、标的指数成份股流动性限制、目标ETF暂停申购、赎回或二级市场交易停牌等基金管理人之外的因素致使基金持有的目标ETF的比例低于基金资产净值的90%的，基金管理人应当在20个交易日内进行调整，但中国证监会规定的特殊情形除外。法律法规另有规定的，从其规定。</w:t>
      </w:r>
    </w:p>
    <w:p>
      <w:pPr>
        <w:pStyle w:val="66"/>
        <w:ind w:firstLine="480"/>
        <w:rPr>
          <w:rFonts w:hAnsi="宋体"/>
          <w:b w:val="0"/>
          <w:bCs w:val="0"/>
          <w:sz w:val="24"/>
          <w:szCs w:val="24"/>
          <w:lang w:val="en-US"/>
        </w:rPr>
      </w:pPr>
      <w:r>
        <w:rPr>
          <w:rFonts w:hint="eastAsia" w:hAnsi="宋体"/>
          <w:b w:val="0"/>
          <w:bCs w:val="0"/>
          <w:sz w:val="24"/>
          <w:szCs w:val="24"/>
          <w:lang w:val="en-US"/>
        </w:rPr>
        <w:t>因证券市场波动、上市公司合并、基金规模变动等基金管理人之外的因素致使基金投资不符合上述第1</w:t>
      </w:r>
      <w:r>
        <w:rPr>
          <w:rFonts w:hAnsi="宋体"/>
          <w:b w:val="0"/>
          <w:bCs w:val="0"/>
          <w:sz w:val="24"/>
          <w:szCs w:val="24"/>
          <w:lang w:val="en-US"/>
        </w:rPr>
        <w:t>0</w:t>
      </w:r>
      <w:r>
        <w:rPr>
          <w:rFonts w:hint="eastAsia" w:hAnsi="宋体"/>
          <w:b w:val="0"/>
          <w:bCs w:val="0"/>
          <w:sz w:val="24"/>
          <w:szCs w:val="24"/>
          <w:lang w:val="en-US"/>
        </w:rPr>
        <w:t>项的，基金管理人不得新增出借业务。</w:t>
      </w:r>
    </w:p>
    <w:p>
      <w:pPr>
        <w:pStyle w:val="66"/>
        <w:ind w:firstLine="480"/>
        <w:rPr>
          <w:rFonts w:hAnsi="宋体"/>
          <w:b w:val="0"/>
          <w:bCs w:val="0"/>
          <w:sz w:val="24"/>
          <w:szCs w:val="24"/>
          <w:lang w:val="en-US"/>
        </w:rPr>
      </w:pPr>
      <w:r>
        <w:rPr>
          <w:rFonts w:hint="eastAsia" w:hAnsi="宋体"/>
          <w:b w:val="0"/>
          <w:bCs w:val="0"/>
          <w:sz w:val="24"/>
          <w:szCs w:val="24"/>
          <w:lang w:val="en-US"/>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pPr>
        <w:pStyle w:val="66"/>
        <w:ind w:firstLine="480"/>
        <w:rPr>
          <w:rFonts w:hAnsi="宋体"/>
          <w:b w:val="0"/>
          <w:bCs w:val="0"/>
          <w:sz w:val="24"/>
          <w:szCs w:val="24"/>
          <w:lang w:val="en-US"/>
        </w:rPr>
      </w:pPr>
      <w:r>
        <w:rPr>
          <w:rFonts w:hint="eastAsia" w:hAnsi="宋体"/>
          <w:b w:val="0"/>
          <w:bCs w:val="0"/>
          <w:sz w:val="24"/>
          <w:szCs w:val="24"/>
          <w:lang w:val="en-US"/>
        </w:rPr>
        <w:t>法律法规或监管部门取消或变更上述限制，如适用于本基金，基金管理人在履行适当程序后，则本基金投资不再受相关限制或以变更后的规定为准。</w:t>
      </w:r>
    </w:p>
    <w:p>
      <w:pPr>
        <w:pStyle w:val="66"/>
        <w:ind w:firstLine="480"/>
        <w:rPr>
          <w:rFonts w:hAnsi="宋体"/>
          <w:b w:val="0"/>
          <w:bCs w:val="0"/>
          <w:sz w:val="24"/>
          <w:szCs w:val="24"/>
          <w:lang w:val="en-US"/>
        </w:rPr>
      </w:pPr>
      <w:r>
        <w:rPr>
          <w:rFonts w:hAnsi="宋体"/>
          <w:b w:val="0"/>
          <w:bCs w:val="0"/>
          <w:sz w:val="24"/>
          <w:szCs w:val="24"/>
          <w:lang w:val="en-US"/>
        </w:rPr>
        <w:t>基金托管人依照上述规定对本基金的投资组合限制及调整期限进行监督。</w:t>
      </w:r>
    </w:p>
    <w:p>
      <w:pPr>
        <w:pStyle w:val="66"/>
        <w:ind w:firstLine="482"/>
        <w:rPr>
          <w:rFonts w:hAnsi="宋体"/>
          <w:sz w:val="24"/>
          <w:szCs w:val="24"/>
          <w:lang w:val="en-US"/>
        </w:rPr>
      </w:pPr>
      <w:r>
        <w:rPr>
          <w:rFonts w:hint="eastAsia" w:hAnsi="宋体"/>
          <w:bCs w:val="0"/>
          <w:sz w:val="24"/>
          <w:szCs w:val="24"/>
          <w:lang w:val="en-US"/>
        </w:rPr>
        <w:t>3</w:t>
      </w:r>
      <w:r>
        <w:rPr>
          <w:rFonts w:hAnsi="宋体"/>
          <w:bCs w:val="0"/>
          <w:sz w:val="24"/>
          <w:szCs w:val="24"/>
          <w:lang w:val="en-US"/>
        </w:rPr>
        <w:t>.</w:t>
      </w:r>
      <w:r>
        <w:rPr>
          <w:rFonts w:hint="eastAsia" w:hAnsi="宋体"/>
          <w:sz w:val="24"/>
          <w:szCs w:val="24"/>
          <w:lang w:val="en-US"/>
        </w:rPr>
        <w:t>基金托管人</w:t>
      </w:r>
      <w:bookmarkStart w:id="66" w:name="OLE_LINK1"/>
      <w:r>
        <w:rPr>
          <w:rFonts w:hint="eastAsia" w:hAnsi="宋体"/>
          <w:sz w:val="24"/>
          <w:szCs w:val="24"/>
          <w:lang w:val="en-US"/>
        </w:rPr>
        <w:t>根据有关法律法规的规定及基金合同和本托管协议的约定，</w:t>
      </w:r>
      <w:bookmarkEnd w:id="66"/>
      <w:r>
        <w:rPr>
          <w:rFonts w:hint="eastAsia" w:hAnsi="宋体"/>
          <w:sz w:val="24"/>
          <w:szCs w:val="24"/>
          <w:lang w:val="en-US"/>
        </w:rPr>
        <w:t>对基金投资禁止行为进行监督。基金财产不得用于下列投资或者活动。</w:t>
      </w:r>
    </w:p>
    <w:p>
      <w:pPr>
        <w:pStyle w:val="66"/>
        <w:ind w:firstLine="480"/>
        <w:rPr>
          <w:rFonts w:hAnsi="宋体"/>
          <w:b w:val="0"/>
          <w:bCs w:val="0"/>
          <w:sz w:val="24"/>
          <w:szCs w:val="24"/>
          <w:lang w:val="en-US"/>
        </w:rPr>
      </w:pPr>
      <w:r>
        <w:rPr>
          <w:rFonts w:hint="eastAsia" w:hAnsi="宋体"/>
          <w:b w:val="0"/>
          <w:bCs w:val="0"/>
          <w:sz w:val="24"/>
          <w:szCs w:val="24"/>
          <w:lang w:val="en-US"/>
        </w:rPr>
        <w:t>（1）承销证券；</w:t>
      </w:r>
    </w:p>
    <w:p>
      <w:pPr>
        <w:pStyle w:val="66"/>
        <w:ind w:firstLine="480"/>
        <w:rPr>
          <w:rFonts w:hAnsi="宋体"/>
          <w:b w:val="0"/>
          <w:bCs w:val="0"/>
          <w:sz w:val="24"/>
          <w:szCs w:val="24"/>
          <w:lang w:val="en-US"/>
        </w:rPr>
      </w:pPr>
      <w:r>
        <w:rPr>
          <w:rFonts w:hint="eastAsia" w:hAnsi="宋体"/>
          <w:b w:val="0"/>
          <w:bCs w:val="0"/>
          <w:sz w:val="24"/>
          <w:szCs w:val="24"/>
          <w:lang w:val="en-US"/>
        </w:rPr>
        <w:t>（2）违反规定向他人贷款或者提供担保；</w:t>
      </w:r>
    </w:p>
    <w:p>
      <w:pPr>
        <w:pStyle w:val="66"/>
        <w:ind w:firstLine="480"/>
        <w:rPr>
          <w:rFonts w:hAnsi="宋体"/>
          <w:b w:val="0"/>
          <w:bCs w:val="0"/>
          <w:sz w:val="24"/>
          <w:szCs w:val="24"/>
          <w:lang w:val="en-US"/>
        </w:rPr>
      </w:pPr>
      <w:r>
        <w:rPr>
          <w:rFonts w:hint="eastAsia" w:hAnsi="宋体"/>
          <w:b w:val="0"/>
          <w:bCs w:val="0"/>
          <w:sz w:val="24"/>
          <w:szCs w:val="24"/>
          <w:lang w:val="en-US"/>
        </w:rPr>
        <w:t>（3）从事承担无限责任的投资；</w:t>
      </w:r>
    </w:p>
    <w:p>
      <w:pPr>
        <w:pStyle w:val="66"/>
        <w:ind w:firstLine="480"/>
        <w:rPr>
          <w:rFonts w:hAnsi="宋体"/>
          <w:b w:val="0"/>
          <w:bCs w:val="0"/>
          <w:sz w:val="24"/>
          <w:szCs w:val="24"/>
          <w:lang w:val="en-US"/>
        </w:rPr>
      </w:pPr>
      <w:r>
        <w:rPr>
          <w:rFonts w:hint="eastAsia" w:hAnsi="宋体"/>
          <w:b w:val="0"/>
          <w:bCs w:val="0"/>
          <w:sz w:val="24"/>
          <w:szCs w:val="24"/>
          <w:lang w:val="en-US"/>
        </w:rPr>
        <w:t>（4）买卖除目标ETF以外的其他基金份额，但是中国证监会另有规定的除外；</w:t>
      </w:r>
    </w:p>
    <w:p>
      <w:pPr>
        <w:pStyle w:val="66"/>
        <w:ind w:firstLine="480"/>
        <w:rPr>
          <w:rFonts w:hAnsi="宋体"/>
          <w:b w:val="0"/>
          <w:bCs w:val="0"/>
          <w:sz w:val="24"/>
          <w:szCs w:val="24"/>
          <w:lang w:val="en-US"/>
        </w:rPr>
      </w:pPr>
      <w:r>
        <w:rPr>
          <w:rFonts w:hint="eastAsia" w:hAnsi="宋体"/>
          <w:b w:val="0"/>
          <w:bCs w:val="0"/>
          <w:sz w:val="24"/>
          <w:szCs w:val="24"/>
          <w:lang w:val="en-US"/>
        </w:rPr>
        <w:t>（5）向其基金管理人、基金托管人出资；</w:t>
      </w:r>
    </w:p>
    <w:p>
      <w:pPr>
        <w:pStyle w:val="66"/>
        <w:ind w:firstLine="480"/>
        <w:rPr>
          <w:rFonts w:hAnsi="宋体"/>
          <w:b w:val="0"/>
          <w:bCs w:val="0"/>
          <w:sz w:val="24"/>
          <w:szCs w:val="24"/>
          <w:lang w:val="en-US"/>
        </w:rPr>
      </w:pPr>
      <w:r>
        <w:rPr>
          <w:rFonts w:hint="eastAsia" w:hAnsi="宋体"/>
          <w:b w:val="0"/>
          <w:bCs w:val="0"/>
          <w:sz w:val="24"/>
          <w:szCs w:val="24"/>
          <w:lang w:val="en-US"/>
        </w:rPr>
        <w:t>（6）从事内幕交易、操纵证券交易价格及其他不正当的证券交易活动；</w:t>
      </w:r>
    </w:p>
    <w:p>
      <w:pPr>
        <w:pStyle w:val="66"/>
        <w:ind w:firstLine="480"/>
        <w:rPr>
          <w:rFonts w:hAnsi="宋体"/>
          <w:b w:val="0"/>
          <w:bCs w:val="0"/>
          <w:sz w:val="24"/>
          <w:szCs w:val="24"/>
          <w:lang w:val="en-US"/>
        </w:rPr>
      </w:pPr>
      <w:r>
        <w:rPr>
          <w:rFonts w:hint="eastAsia" w:hAnsi="宋体"/>
          <w:b w:val="0"/>
          <w:bCs w:val="0"/>
          <w:sz w:val="24"/>
          <w:szCs w:val="24"/>
          <w:lang w:val="en-US"/>
        </w:rPr>
        <w:t>（7）法律、行政法规和中国证监会规定禁止的其他活动。</w:t>
      </w:r>
    </w:p>
    <w:p>
      <w:pPr>
        <w:pStyle w:val="66"/>
        <w:ind w:firstLine="480"/>
        <w:rPr>
          <w:rFonts w:hAnsi="宋体"/>
          <w:b w:val="0"/>
          <w:bCs w:val="0"/>
          <w:sz w:val="24"/>
          <w:szCs w:val="24"/>
          <w:lang w:val="en-US"/>
        </w:rPr>
      </w:pPr>
      <w:r>
        <w:rPr>
          <w:rFonts w:hint="eastAsia" w:hAnsi="宋体"/>
          <w:b w:val="0"/>
          <w:bCs w:val="0"/>
          <w:sz w:val="24"/>
          <w:szCs w:val="24"/>
          <w:lang w:val="en-US"/>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pStyle w:val="66"/>
        <w:ind w:firstLine="480"/>
        <w:rPr>
          <w:rFonts w:hAnsi="宋体"/>
          <w:b w:val="0"/>
          <w:bCs w:val="0"/>
          <w:sz w:val="24"/>
          <w:szCs w:val="24"/>
          <w:lang w:val="en-US"/>
        </w:rPr>
      </w:pPr>
      <w:r>
        <w:rPr>
          <w:rFonts w:hint="eastAsia" w:hAnsi="宋体"/>
          <w:b w:val="0"/>
          <w:bCs w:val="0"/>
          <w:sz w:val="24"/>
          <w:szCs w:val="24"/>
          <w:lang w:val="en-US"/>
        </w:rPr>
        <w:t>在基金合同生效后，基金管理人和基金托管人应相互提供与本机构有控股关系的股东、实际控制人或者与本机构有重大利害关系的公司名单，以上名单发生变化的，应及时予以更新并通知对方。</w:t>
      </w:r>
    </w:p>
    <w:p>
      <w:pPr>
        <w:pStyle w:val="66"/>
        <w:ind w:firstLine="480"/>
        <w:rPr>
          <w:rFonts w:hAnsi="宋体"/>
          <w:b w:val="0"/>
          <w:bCs w:val="0"/>
          <w:sz w:val="24"/>
          <w:szCs w:val="24"/>
          <w:lang w:val="en-US"/>
        </w:rPr>
      </w:pPr>
      <w:r>
        <w:rPr>
          <w:rFonts w:hint="eastAsia" w:hAnsi="宋体"/>
          <w:b w:val="0"/>
          <w:bCs w:val="0"/>
          <w:sz w:val="24"/>
          <w:szCs w:val="24"/>
          <w:lang w:val="en-US"/>
        </w:rPr>
        <w:t>如法律法规或监管部门取消或变更上述限制，如适用于本基金，基金管理人在履行适当程序后可不受上述规定的限制或以变更后的规定为准。</w:t>
      </w:r>
    </w:p>
    <w:p>
      <w:pPr>
        <w:pStyle w:val="66"/>
        <w:ind w:firstLine="482"/>
        <w:rPr>
          <w:rFonts w:hAnsi="宋体"/>
          <w:bCs w:val="0"/>
          <w:sz w:val="24"/>
          <w:szCs w:val="24"/>
          <w:lang w:val="en-US"/>
        </w:rPr>
      </w:pPr>
      <w:r>
        <w:rPr>
          <w:rFonts w:hint="eastAsia" w:hAnsi="宋体"/>
          <w:bCs w:val="0"/>
          <w:sz w:val="24"/>
          <w:szCs w:val="24"/>
          <w:lang w:val="en-US"/>
        </w:rPr>
        <w:t>4</w:t>
      </w:r>
      <w:r>
        <w:rPr>
          <w:rFonts w:hAnsi="宋体"/>
          <w:bCs w:val="0"/>
          <w:sz w:val="24"/>
          <w:szCs w:val="24"/>
          <w:lang w:val="en-US"/>
        </w:rPr>
        <w:t>.</w:t>
      </w:r>
      <w:r>
        <w:rPr>
          <w:rFonts w:hint="eastAsia" w:hAnsi="宋体"/>
          <w:bCs w:val="0"/>
          <w:sz w:val="24"/>
          <w:szCs w:val="24"/>
          <w:lang w:val="en-US"/>
        </w:rPr>
        <w:t>基金托管人根据有关法律法规的规定及基金合同和本托管协议的约定，对基金管理人参与银行间债券市场进行监督。</w:t>
      </w:r>
    </w:p>
    <w:p>
      <w:pPr>
        <w:pStyle w:val="66"/>
        <w:ind w:firstLine="480"/>
        <w:rPr>
          <w:rFonts w:hAnsi="宋体"/>
          <w:b w:val="0"/>
          <w:bCs w:val="0"/>
          <w:sz w:val="24"/>
          <w:szCs w:val="24"/>
          <w:lang w:val="en-US"/>
        </w:rPr>
      </w:pPr>
      <w:r>
        <w:rPr>
          <w:rFonts w:hint="eastAsia" w:hAnsi="宋体"/>
          <w:b w:val="0"/>
          <w:bCs w:val="0"/>
          <w:sz w:val="24"/>
          <w:szCs w:val="24"/>
          <w:lang w:val="en-US"/>
        </w:rPr>
        <w:t>（1）基金托管人依据有关法律法规的规定和《基金合同》的约定对于基金管理人参与银行间市场交易时面临的交易对手资信风险进行监督。</w:t>
      </w:r>
    </w:p>
    <w:p>
      <w:pPr>
        <w:pStyle w:val="66"/>
        <w:ind w:firstLine="480"/>
        <w:rPr>
          <w:rFonts w:hAnsi="宋体"/>
          <w:b w:val="0"/>
          <w:bCs w:val="0"/>
          <w:sz w:val="24"/>
          <w:szCs w:val="24"/>
          <w:lang w:val="en-US"/>
        </w:rPr>
      </w:pPr>
      <w:r>
        <w:rPr>
          <w:rFonts w:hint="eastAsia" w:hAnsi="宋体"/>
          <w:b w:val="0"/>
          <w:bCs w:val="0"/>
          <w:sz w:val="24"/>
          <w:szCs w:val="24"/>
          <w:lang w:val="en-US"/>
        </w:rPr>
        <w:t>基金管理人应向基金托管人提供符合法律法规及行业标准的银行间市场交易对手的名单。基金托管人在收到名单后2个工作日内电话或回函确认收到该名单。基金管理人应定期和不定期对银行间市场现券及回购交易对手的名单进行更新。基金托管人在收到名单后2个工作日内电话或书面回函确认，新名单自基金托管人确认当日生效。新名单生效前已与本次剔除的交易对手所进行但尚未结算的交易，仍应按照协议进行结算。</w:t>
      </w:r>
    </w:p>
    <w:p>
      <w:pPr>
        <w:pStyle w:val="66"/>
        <w:ind w:firstLine="480"/>
        <w:rPr>
          <w:rFonts w:hAnsi="宋体"/>
          <w:b w:val="0"/>
          <w:bCs w:val="0"/>
          <w:sz w:val="24"/>
          <w:szCs w:val="24"/>
          <w:lang w:val="en-US"/>
        </w:rPr>
      </w:pPr>
      <w:r>
        <w:rPr>
          <w:rFonts w:hint="eastAsia" w:hAnsi="宋体"/>
          <w:b w:val="0"/>
          <w:bCs w:val="0"/>
          <w:sz w:val="24"/>
          <w:szCs w:val="24"/>
          <w:lang w:val="en-US"/>
        </w:rPr>
        <w:t>（2）基金管理人参与银行间市场交易时，有责任控制交易对手的资信风险，由于交易对手资信风险引起的损失,基金管理人应当负责向相关责任人追偿。</w:t>
      </w:r>
    </w:p>
    <w:p>
      <w:pPr>
        <w:pStyle w:val="66"/>
        <w:ind w:firstLine="482"/>
        <w:rPr>
          <w:rFonts w:hAnsi="宋体"/>
          <w:bCs w:val="0"/>
          <w:sz w:val="24"/>
          <w:szCs w:val="24"/>
          <w:lang w:val="en-US"/>
        </w:rPr>
      </w:pPr>
      <w:r>
        <w:rPr>
          <w:rFonts w:hAnsi="宋体"/>
          <w:sz w:val="24"/>
        </w:rPr>
        <w:t>5</w:t>
      </w:r>
      <w:r>
        <w:rPr>
          <w:rFonts w:hAnsi="宋体"/>
          <w:bCs w:val="0"/>
          <w:sz w:val="24"/>
          <w:szCs w:val="24"/>
          <w:lang w:val="en-US"/>
        </w:rPr>
        <w:t>.</w:t>
      </w:r>
      <w:r>
        <w:rPr>
          <w:rFonts w:hint="eastAsia" w:hAnsi="宋体"/>
          <w:bCs w:val="0"/>
          <w:sz w:val="24"/>
          <w:szCs w:val="24"/>
          <w:lang w:val="en-US"/>
        </w:rPr>
        <w:t>基金托管人根据有关法律法规的规定及基金合同和本托管协议的约定，对基金管理人银行存款业务进行监督。</w:t>
      </w:r>
    </w:p>
    <w:p>
      <w:pPr>
        <w:pStyle w:val="66"/>
        <w:ind w:firstLine="480"/>
        <w:rPr>
          <w:rFonts w:hAnsi="宋体"/>
          <w:b w:val="0"/>
          <w:sz w:val="24"/>
          <w:szCs w:val="24"/>
          <w:lang w:val="en-US"/>
        </w:rPr>
      </w:pPr>
      <w:r>
        <w:rPr>
          <w:rFonts w:hint="eastAsia" w:hAnsi="宋体"/>
          <w:b w:val="0"/>
          <w:sz w:val="24"/>
          <w:szCs w:val="24"/>
          <w:lang w:val="en-US"/>
        </w:rPr>
        <w:t>本基金投资银行存款应符合如下规定：</w:t>
      </w:r>
    </w:p>
    <w:p>
      <w:pPr>
        <w:pStyle w:val="66"/>
        <w:ind w:firstLine="480"/>
        <w:rPr>
          <w:rFonts w:hAnsi="宋体"/>
          <w:b w:val="0"/>
          <w:sz w:val="24"/>
          <w:szCs w:val="24"/>
          <w:lang w:val="en-US"/>
        </w:rPr>
      </w:pPr>
      <w:r>
        <w:rPr>
          <w:rFonts w:hint="eastAsia" w:hAnsi="宋体"/>
          <w:b w:val="0"/>
          <w:sz w:val="24"/>
          <w:szCs w:val="24"/>
          <w:lang w:val="en-US"/>
        </w:rPr>
        <w:t>（</w:t>
      </w:r>
      <w:r>
        <w:rPr>
          <w:rFonts w:hAnsi="宋体"/>
          <w:b w:val="0"/>
          <w:sz w:val="24"/>
          <w:szCs w:val="24"/>
          <w:lang w:val="en-US"/>
        </w:rPr>
        <w:t>1）基金管理人、基金托管人应当与存款银行建立对账机制，确保基金银行存款业务账目及核算的真实、准确。</w:t>
      </w:r>
    </w:p>
    <w:p>
      <w:pPr>
        <w:pStyle w:val="66"/>
        <w:ind w:firstLine="480"/>
        <w:rPr>
          <w:rFonts w:hAnsi="宋体"/>
          <w:b w:val="0"/>
          <w:sz w:val="24"/>
          <w:szCs w:val="24"/>
          <w:lang w:val="en-US"/>
        </w:rPr>
      </w:pPr>
      <w:r>
        <w:rPr>
          <w:rFonts w:hint="eastAsia" w:hAnsi="宋体"/>
          <w:b w:val="0"/>
          <w:sz w:val="24"/>
          <w:szCs w:val="24"/>
          <w:lang w:val="en-US"/>
        </w:rPr>
        <w:t>（</w:t>
      </w:r>
      <w:r>
        <w:rPr>
          <w:rFonts w:hAnsi="宋体"/>
          <w:b w:val="0"/>
          <w:sz w:val="24"/>
          <w:szCs w:val="24"/>
          <w:lang w:val="en-US"/>
        </w:rPr>
        <w:t>2）基金管理人与基金托管人应根据相关规定，就本基金银行存款业务另行签订书面协议，明确双方在相关协议签署、账户开设与管理、投资指令传达与执行、资金划拨、账目核对、到期兑付，以及存款证实书的开立、传递、保管等流程中的权利、义务和职责，以确保基金财产的安全，保护基金份额持有人的合法权益。</w:t>
      </w:r>
    </w:p>
    <w:p>
      <w:pPr>
        <w:pStyle w:val="66"/>
        <w:ind w:firstLine="480"/>
        <w:rPr>
          <w:rFonts w:hAnsi="宋体"/>
          <w:b w:val="0"/>
          <w:sz w:val="24"/>
          <w:szCs w:val="24"/>
          <w:lang w:val="en-US"/>
        </w:rPr>
      </w:pPr>
      <w:r>
        <w:rPr>
          <w:rFonts w:hint="eastAsia" w:hAnsi="宋体"/>
          <w:b w:val="0"/>
          <w:sz w:val="24"/>
          <w:szCs w:val="24"/>
          <w:lang w:val="en-US"/>
        </w:rPr>
        <w:t>（</w:t>
      </w:r>
      <w:r>
        <w:rPr>
          <w:rFonts w:hAnsi="宋体"/>
          <w:b w:val="0"/>
          <w:sz w:val="24"/>
          <w:szCs w:val="24"/>
          <w:lang w:val="en-US"/>
        </w:rPr>
        <w:t>3）基金托管人应加强对基金银行存款业务的监督与核查，严格审查、复核相关协议、账户资料、投资指令、存款证实书等有关文件，切实履行托管职责。</w:t>
      </w:r>
    </w:p>
    <w:p>
      <w:pPr>
        <w:pStyle w:val="66"/>
        <w:ind w:firstLine="480"/>
        <w:rPr>
          <w:rFonts w:hAnsi="宋体"/>
          <w:bCs w:val="0"/>
          <w:sz w:val="24"/>
          <w:szCs w:val="24"/>
          <w:lang w:val="en-US"/>
        </w:rPr>
      </w:pPr>
      <w:r>
        <w:rPr>
          <w:rFonts w:hint="eastAsia" w:hAnsi="宋体"/>
          <w:b w:val="0"/>
          <w:sz w:val="24"/>
          <w:szCs w:val="24"/>
          <w:lang w:val="en-US"/>
        </w:rPr>
        <w:t>（</w:t>
      </w:r>
      <w:r>
        <w:rPr>
          <w:rFonts w:hAnsi="宋体"/>
          <w:b w:val="0"/>
          <w:sz w:val="24"/>
          <w:szCs w:val="24"/>
          <w:lang w:val="en-US"/>
        </w:rPr>
        <w:t>4）基金管理人与基金托管人在开展基金存款业务时，应严格遵守《基金法》、《运作办法》等有关法律法规，以及国家有关账户管理、利率管理、支付结算等的各项规定。</w:t>
      </w:r>
    </w:p>
    <w:p>
      <w:pPr>
        <w:pStyle w:val="66"/>
        <w:ind w:firstLine="482"/>
        <w:rPr>
          <w:rFonts w:hAnsi="宋体"/>
          <w:b w:val="0"/>
          <w:bCs w:val="0"/>
          <w:sz w:val="24"/>
          <w:szCs w:val="24"/>
          <w:lang w:val="en-US"/>
        </w:rPr>
      </w:pPr>
      <w:r>
        <w:rPr>
          <w:rFonts w:hint="eastAsia" w:hAnsi="宋体"/>
          <w:bCs w:val="0"/>
          <w:sz w:val="24"/>
          <w:szCs w:val="24"/>
          <w:lang w:val="en-US"/>
        </w:rPr>
        <w:t>6</w:t>
      </w:r>
      <w:r>
        <w:rPr>
          <w:rFonts w:hAnsi="宋体"/>
          <w:bCs w:val="0"/>
          <w:sz w:val="24"/>
          <w:szCs w:val="24"/>
          <w:lang w:val="en-US"/>
        </w:rPr>
        <w:t>.</w:t>
      </w:r>
      <w:r>
        <w:rPr>
          <w:rFonts w:hint="eastAsia" w:hAnsi="宋体"/>
          <w:bCs w:val="0"/>
          <w:sz w:val="24"/>
          <w:szCs w:val="24"/>
          <w:lang w:val="en-US"/>
        </w:rPr>
        <w:t>基金托管人根据法律法规的规定及《基金合同》和本托管协议的约定，对基金投资其他方面进行监督。</w:t>
      </w:r>
    </w:p>
    <w:p>
      <w:pPr>
        <w:pStyle w:val="66"/>
        <w:ind w:firstLine="482"/>
        <w:rPr>
          <w:rFonts w:hAnsi="宋体"/>
          <w:bCs w:val="0"/>
          <w:kern w:val="0"/>
          <w:sz w:val="24"/>
          <w:szCs w:val="24"/>
          <w:lang w:val="en-US"/>
        </w:rPr>
      </w:pPr>
      <w:r>
        <w:rPr>
          <w:rFonts w:hint="eastAsia" w:hAnsi="宋体"/>
          <w:bCs w:val="0"/>
          <w:kern w:val="0"/>
          <w:sz w:val="24"/>
          <w:szCs w:val="24"/>
          <w:lang w:val="en-US"/>
        </w:rPr>
        <w:t>（二）</w:t>
      </w:r>
      <w:r>
        <w:rPr>
          <w:rFonts w:hAnsi="宋体"/>
          <w:sz w:val="24"/>
        </w:rPr>
        <w:t>基金托管人应根据有关法律法规的规定及《基金合同》的约定，对基金资产净值计算、</w:t>
      </w:r>
      <w:r>
        <w:rPr>
          <w:rFonts w:hint="eastAsia" w:hAnsi="宋体"/>
          <w:sz w:val="24"/>
        </w:rPr>
        <w:t>各类</w:t>
      </w:r>
      <w:r>
        <w:rPr>
          <w:rFonts w:hAnsi="宋体"/>
          <w:sz w:val="24"/>
        </w:rPr>
        <w:t>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则基金托管人对此不承担相应责任，并有权在发现后报告中国证监会。</w:t>
      </w:r>
    </w:p>
    <w:p>
      <w:pPr>
        <w:pStyle w:val="66"/>
        <w:ind w:firstLine="480"/>
        <w:rPr>
          <w:rFonts w:hAnsi="宋体"/>
          <w:bCs w:val="0"/>
          <w:kern w:val="0"/>
          <w:sz w:val="24"/>
          <w:szCs w:val="24"/>
          <w:lang w:val="en-US"/>
        </w:rPr>
      </w:pPr>
      <w:r>
        <w:rPr>
          <w:rFonts w:hint="eastAsia" w:hAnsi="宋体"/>
          <w:b w:val="0"/>
          <w:bCs w:val="0"/>
          <w:sz w:val="24"/>
        </w:rPr>
        <w:t>（三）</w:t>
      </w:r>
      <w:r>
        <w:rPr>
          <w:rFonts w:hAnsi="宋体"/>
          <w:sz w:val="24"/>
        </w:rPr>
        <w:t>基金管理人应积极配合和协助基金托管人的监督和核查，在规定时间内答复并改正，就基金托管人的合理疑义进行解释或举证。对基金托管人按照法规要求需向中国证监会报送基金监督报告的，基金管理人应积极配合提供相关数据资料和制度等。</w:t>
      </w:r>
    </w:p>
    <w:p>
      <w:pPr>
        <w:pStyle w:val="66"/>
        <w:ind w:firstLine="480"/>
        <w:rPr>
          <w:rFonts w:hAnsi="宋体"/>
          <w:b w:val="0"/>
          <w:bCs w:val="0"/>
          <w:kern w:val="0"/>
          <w:sz w:val="24"/>
          <w:szCs w:val="24"/>
          <w:lang w:val="en-US"/>
        </w:rPr>
      </w:pPr>
      <w:r>
        <w:rPr>
          <w:rFonts w:hint="eastAsia" w:hAnsi="宋体"/>
          <w:b w:val="0"/>
          <w:bCs w:val="0"/>
          <w:kern w:val="0"/>
          <w:sz w:val="24"/>
          <w:szCs w:val="24"/>
          <w:lang w:val="en-US"/>
        </w:rPr>
        <w:t>基金托管人发现基金管理人的投资指令或实际投资运作违反《基金法》及其他有关法规、《基金合同》和本托管协议规定的行为，应及时以书面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pPr>
        <w:pStyle w:val="66"/>
        <w:ind w:firstLine="480"/>
        <w:rPr>
          <w:rFonts w:hAnsi="宋体"/>
          <w:b w:val="0"/>
          <w:bCs w:val="0"/>
          <w:kern w:val="0"/>
          <w:sz w:val="24"/>
          <w:szCs w:val="24"/>
          <w:lang w:val="en-US"/>
        </w:rPr>
      </w:pPr>
      <w:r>
        <w:rPr>
          <w:rFonts w:hint="eastAsia" w:hAnsi="宋体"/>
          <w:b w:val="0"/>
          <w:bCs w:val="0"/>
          <w:kern w:val="0"/>
          <w:sz w:val="24"/>
          <w:szCs w:val="24"/>
          <w:lang w:val="en-US"/>
        </w:rPr>
        <w:t>基金托管人发现基金管理人有重大违规行为，应立即报告中国证监会，同时通知基金管理人在限期内纠正。</w:t>
      </w:r>
    </w:p>
    <w:p>
      <w:pPr>
        <w:pStyle w:val="66"/>
        <w:ind w:firstLine="480"/>
        <w:rPr>
          <w:rFonts w:hAnsi="宋体"/>
          <w:b w:val="0"/>
          <w:bCs w:val="0"/>
          <w:kern w:val="0"/>
          <w:sz w:val="24"/>
          <w:szCs w:val="24"/>
          <w:lang w:val="en-US"/>
        </w:rPr>
      </w:pPr>
      <w:r>
        <w:rPr>
          <w:rFonts w:hint="eastAsia" w:hAnsi="宋体"/>
          <w:b w:val="0"/>
          <w:bCs w:val="0"/>
          <w:kern w:val="0"/>
          <w:sz w:val="24"/>
          <w:szCs w:val="24"/>
          <w:lang w:val="en-US"/>
        </w:rPr>
        <w:t>基金托管人发现基金管理人的指令违反法律、行政法规和其他有关规定，或者违反《基金合同》约定的，应当拒绝执行，立即通知基金管理人，并有权向中国证监会报告。</w:t>
      </w:r>
    </w:p>
    <w:p>
      <w:pPr>
        <w:pStyle w:val="66"/>
        <w:ind w:firstLine="480"/>
        <w:rPr>
          <w:rFonts w:hAnsi="宋体"/>
          <w:b w:val="0"/>
          <w:bCs w:val="0"/>
          <w:kern w:val="0"/>
          <w:sz w:val="24"/>
          <w:szCs w:val="24"/>
          <w:lang w:val="en-US"/>
        </w:rPr>
      </w:pPr>
      <w:r>
        <w:rPr>
          <w:rFonts w:hint="eastAsia" w:hAnsi="宋体"/>
          <w:b w:val="0"/>
          <w:bCs w:val="0"/>
          <w:kern w:val="0"/>
          <w:sz w:val="24"/>
          <w:szCs w:val="24"/>
          <w:lang w:val="en-US"/>
        </w:rPr>
        <w:t>基金托管人发现基金管理人依据交易程序已经生效的指令违反法律、行政法规和其他有关规定，或者违反《基金合同》约定的，应当立即通知基金管理人，并有权向中国证监会报告。</w:t>
      </w:r>
    </w:p>
    <w:p>
      <w:pPr>
        <w:pStyle w:val="66"/>
        <w:ind w:firstLine="480"/>
        <w:rPr>
          <w:rFonts w:hAnsi="宋体"/>
          <w:b w:val="0"/>
          <w:bCs w:val="0"/>
          <w:color w:val="000000"/>
          <w:sz w:val="24"/>
          <w:szCs w:val="24"/>
          <w:lang w:val="en-US"/>
        </w:rPr>
      </w:pPr>
      <w:r>
        <w:rPr>
          <w:rFonts w:hint="eastAsia" w:hAnsi="宋体"/>
          <w:b w:val="0"/>
          <w:bCs w:val="0"/>
          <w:color w:val="000000"/>
          <w:sz w:val="24"/>
          <w:szCs w:val="24"/>
          <w:lang w:val="en-US"/>
        </w:rPr>
        <w:t>三、基金管理人对基金托管人的业务核查</w:t>
      </w:r>
    </w:p>
    <w:p>
      <w:pPr>
        <w:pStyle w:val="66"/>
        <w:ind w:firstLine="480"/>
        <w:rPr>
          <w:rFonts w:hAnsi="宋体"/>
          <w:b w:val="0"/>
          <w:bCs w:val="0"/>
          <w:kern w:val="0"/>
          <w:sz w:val="24"/>
          <w:szCs w:val="24"/>
          <w:lang w:val="en-US"/>
        </w:rPr>
      </w:pPr>
      <w:r>
        <w:rPr>
          <w:rFonts w:hAnsi="宋体"/>
          <w:b w:val="0"/>
          <w:bCs w:val="0"/>
          <w:kern w:val="0"/>
          <w:sz w:val="24"/>
          <w:szCs w:val="24"/>
          <w:lang w:val="en-US"/>
        </w:rPr>
        <w:t>根据《基金法》及其他有关法规、《基金合同》和本托管协议规定，基金管理人对基金托管人履行托管职责的情况进行核查，核查事项包括但不限于基金托管人是否安全保管基金财产、开立基金财产的资金账户、证券账户及债券托管账户等投资所需账户，是否及时、准确复核基金管理人计算的基金资产净值和</w:t>
      </w:r>
      <w:r>
        <w:rPr>
          <w:rFonts w:hint="eastAsia" w:hAnsi="宋体"/>
          <w:b w:val="0"/>
          <w:bCs w:val="0"/>
          <w:kern w:val="0"/>
          <w:sz w:val="24"/>
          <w:szCs w:val="24"/>
          <w:lang w:val="en-US"/>
        </w:rPr>
        <w:t>各类</w:t>
      </w:r>
      <w:r>
        <w:rPr>
          <w:rFonts w:hAnsi="宋体"/>
          <w:b w:val="0"/>
          <w:bCs w:val="0"/>
          <w:kern w:val="0"/>
          <w:sz w:val="24"/>
          <w:szCs w:val="24"/>
          <w:lang w:val="en-US"/>
        </w:rPr>
        <w:t>基金份额净值，是否根据基金管理人指令办理清算交收，是否按照法规规定和《基金合同》规定进行相关信息披露和监督基金投资运作等行为。</w:t>
      </w:r>
    </w:p>
    <w:p>
      <w:pPr>
        <w:pStyle w:val="66"/>
        <w:ind w:firstLine="480"/>
        <w:rPr>
          <w:rFonts w:hAnsi="宋体"/>
          <w:b w:val="0"/>
          <w:bCs w:val="0"/>
          <w:kern w:val="0"/>
          <w:sz w:val="24"/>
          <w:szCs w:val="24"/>
          <w:lang w:val="en-US"/>
        </w:rPr>
      </w:pPr>
      <w:r>
        <w:rPr>
          <w:rFonts w:hAnsi="宋体"/>
          <w:b w:val="0"/>
          <w:bCs w:val="0"/>
          <w:kern w:val="0"/>
          <w:sz w:val="24"/>
          <w:szCs w:val="24"/>
          <w:lang w:val="en-US"/>
        </w:rPr>
        <w:t>基金管理人定期和不定期地对基金托管人保管的基金资产进行核查。基金托管人应积极配合基金管理人的核查行为，包括但不限于：提交相关资料以供基金管理人核查托管财产的完整性和真实性，在规定时间内答复并改正。</w:t>
      </w:r>
    </w:p>
    <w:p>
      <w:pPr>
        <w:pStyle w:val="66"/>
        <w:ind w:firstLine="480"/>
        <w:rPr>
          <w:rFonts w:hAnsi="宋体"/>
          <w:b w:val="0"/>
          <w:bCs w:val="0"/>
          <w:kern w:val="0"/>
          <w:sz w:val="24"/>
          <w:szCs w:val="24"/>
          <w:lang w:val="en-US"/>
        </w:rPr>
      </w:pPr>
      <w:r>
        <w:rPr>
          <w:rFonts w:hAnsi="宋体"/>
          <w:b w:val="0"/>
          <w:bCs w:val="0"/>
          <w:kern w:val="0"/>
          <w:sz w:val="24"/>
          <w:szCs w:val="24"/>
          <w:lang w:val="en-US"/>
        </w:rPr>
        <w:t>基金管理人发现基金托管人未对基金资产实行分账管理、擅自挪用基金资产、未执行或无故延迟执行基金管理人资金划拨指令、泄露基金投资信息等违反《基金法》、《基金合同》、本托管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pPr>
        <w:pStyle w:val="66"/>
        <w:ind w:firstLine="480"/>
        <w:rPr>
          <w:rFonts w:hAnsi="宋体"/>
          <w:b w:val="0"/>
          <w:bCs w:val="0"/>
          <w:kern w:val="0"/>
          <w:sz w:val="24"/>
          <w:szCs w:val="24"/>
          <w:lang w:val="en-US"/>
        </w:rPr>
      </w:pPr>
      <w:r>
        <w:rPr>
          <w:rFonts w:hAnsi="宋体"/>
          <w:b w:val="0"/>
          <w:bCs w:val="0"/>
          <w:kern w:val="0"/>
          <w:sz w:val="24"/>
          <w:szCs w:val="24"/>
          <w:lang w:val="en-US"/>
        </w:rPr>
        <w:t>基金管理人发现基金托管人有重大违规行为，应立即报告中国证监会，同时通知基金托管人在限期内纠正。</w:t>
      </w:r>
    </w:p>
    <w:p>
      <w:pPr>
        <w:pStyle w:val="66"/>
        <w:ind w:firstLine="480"/>
        <w:rPr>
          <w:rFonts w:hAnsi="宋体"/>
          <w:b w:val="0"/>
          <w:bCs w:val="0"/>
          <w:color w:val="000000"/>
          <w:sz w:val="24"/>
          <w:szCs w:val="24"/>
          <w:lang w:val="en-US"/>
        </w:rPr>
      </w:pPr>
      <w:r>
        <w:rPr>
          <w:rFonts w:hint="eastAsia" w:hAnsi="宋体"/>
          <w:b w:val="0"/>
          <w:bCs w:val="0"/>
          <w:color w:val="000000"/>
          <w:sz w:val="24"/>
          <w:szCs w:val="24"/>
          <w:lang w:val="en-US"/>
        </w:rPr>
        <w:t>四、基金财产的保管</w:t>
      </w:r>
    </w:p>
    <w:p>
      <w:pPr>
        <w:pStyle w:val="66"/>
        <w:ind w:firstLine="480"/>
        <w:rPr>
          <w:rFonts w:hAnsi="宋体"/>
          <w:b w:val="0"/>
          <w:bCs w:val="0"/>
          <w:sz w:val="24"/>
          <w:szCs w:val="24"/>
          <w:lang w:val="en-US"/>
        </w:rPr>
      </w:pPr>
      <w:r>
        <w:rPr>
          <w:rFonts w:hint="eastAsia" w:hAnsi="宋体"/>
          <w:b w:val="0"/>
          <w:bCs w:val="0"/>
          <w:sz w:val="24"/>
          <w:szCs w:val="24"/>
          <w:lang w:val="en-US"/>
        </w:rPr>
        <w:t>（一）基金财产保管的原则</w:t>
      </w:r>
    </w:p>
    <w:p>
      <w:pPr>
        <w:pStyle w:val="66"/>
        <w:ind w:firstLine="480"/>
        <w:rPr>
          <w:rFonts w:hAnsi="宋体"/>
          <w:b w:val="0"/>
          <w:bCs w:val="0"/>
          <w:sz w:val="24"/>
          <w:szCs w:val="24"/>
          <w:lang w:val="en-US"/>
        </w:rPr>
      </w:pPr>
      <w:r>
        <w:rPr>
          <w:rFonts w:hint="eastAsia" w:hAnsi="宋体"/>
          <w:b w:val="0"/>
          <w:bCs w:val="0"/>
          <w:sz w:val="24"/>
          <w:szCs w:val="24"/>
          <w:lang w:val="en-US"/>
        </w:rPr>
        <w:t>1</w:t>
      </w:r>
      <w:r>
        <w:rPr>
          <w:rFonts w:hAnsi="宋体"/>
          <w:b w:val="0"/>
          <w:bCs w:val="0"/>
          <w:sz w:val="24"/>
          <w:szCs w:val="24"/>
          <w:lang w:val="en-US"/>
        </w:rPr>
        <w:t>.</w:t>
      </w:r>
      <w:r>
        <w:rPr>
          <w:rFonts w:hint="eastAsia" w:hAnsi="宋体"/>
          <w:b w:val="0"/>
          <w:bCs w:val="0"/>
          <w:sz w:val="24"/>
          <w:szCs w:val="24"/>
          <w:lang w:val="en-US"/>
        </w:rPr>
        <w:t>基金托管人应安全保管基金财产，未经基金管理人的指令，不得自行运用、处分、分配基金的任何资产，非因基金财产本身承担的债务，不得对基金财产强制执行。</w:t>
      </w:r>
    </w:p>
    <w:p>
      <w:pPr>
        <w:pStyle w:val="66"/>
        <w:ind w:firstLine="480"/>
        <w:rPr>
          <w:rFonts w:hAnsi="宋体"/>
          <w:b w:val="0"/>
          <w:bCs w:val="0"/>
          <w:sz w:val="24"/>
          <w:szCs w:val="24"/>
          <w:lang w:val="en-US"/>
        </w:rPr>
      </w:pPr>
      <w:r>
        <w:rPr>
          <w:rFonts w:hint="eastAsia" w:hAnsi="宋体"/>
          <w:b w:val="0"/>
          <w:bCs w:val="0"/>
          <w:sz w:val="24"/>
          <w:szCs w:val="24"/>
          <w:lang w:val="en-US"/>
        </w:rPr>
        <w:t>2</w:t>
      </w:r>
      <w:r>
        <w:rPr>
          <w:rFonts w:hAnsi="宋体"/>
          <w:b w:val="0"/>
          <w:bCs w:val="0"/>
          <w:sz w:val="24"/>
          <w:szCs w:val="24"/>
          <w:lang w:val="en-US"/>
        </w:rPr>
        <w:t>.</w:t>
      </w:r>
      <w:r>
        <w:rPr>
          <w:rFonts w:hint="eastAsia" w:hAnsi="宋体"/>
          <w:b w:val="0"/>
          <w:bCs w:val="0"/>
          <w:sz w:val="24"/>
          <w:szCs w:val="24"/>
          <w:lang w:val="en-US"/>
        </w:rPr>
        <w:t>基金财产应独立于基金管理人、基金托管人的固有财产。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pPr>
        <w:pStyle w:val="66"/>
        <w:ind w:firstLine="480"/>
        <w:rPr>
          <w:rFonts w:hAnsi="宋体"/>
          <w:b w:val="0"/>
          <w:bCs w:val="0"/>
          <w:sz w:val="24"/>
          <w:szCs w:val="24"/>
          <w:lang w:val="en-US"/>
        </w:rPr>
      </w:pPr>
      <w:r>
        <w:rPr>
          <w:rFonts w:hint="eastAsia" w:hAnsi="宋体"/>
          <w:b w:val="0"/>
          <w:bCs w:val="0"/>
          <w:sz w:val="24"/>
          <w:szCs w:val="24"/>
          <w:lang w:val="en-US"/>
        </w:rPr>
        <w:t>3</w:t>
      </w:r>
      <w:r>
        <w:rPr>
          <w:rFonts w:hAnsi="宋体"/>
          <w:b w:val="0"/>
          <w:bCs w:val="0"/>
          <w:sz w:val="24"/>
          <w:szCs w:val="24"/>
          <w:lang w:val="en-US"/>
        </w:rPr>
        <w:t>.</w:t>
      </w:r>
      <w:r>
        <w:rPr>
          <w:rFonts w:hint="eastAsia" w:hAnsi="宋体"/>
          <w:b w:val="0"/>
          <w:bCs w:val="0"/>
          <w:sz w:val="24"/>
          <w:szCs w:val="24"/>
          <w:lang w:val="en-US"/>
        </w:rPr>
        <w:t>基金托管人按照规定开立基金财产的银行存款账户、证券账户和债券托管账户等投资所需账户，基金管理人和基金托管人按照规定开立期货资金账户。</w:t>
      </w:r>
    </w:p>
    <w:p>
      <w:pPr>
        <w:pStyle w:val="66"/>
        <w:ind w:firstLine="480"/>
        <w:rPr>
          <w:rFonts w:hAnsi="宋体"/>
          <w:b w:val="0"/>
          <w:bCs w:val="0"/>
          <w:sz w:val="24"/>
          <w:szCs w:val="24"/>
          <w:lang w:val="en-US"/>
        </w:rPr>
      </w:pPr>
      <w:r>
        <w:rPr>
          <w:rFonts w:hint="eastAsia" w:hAnsi="宋体"/>
          <w:b w:val="0"/>
          <w:bCs w:val="0"/>
          <w:sz w:val="24"/>
          <w:szCs w:val="24"/>
          <w:lang w:val="en-US"/>
        </w:rPr>
        <w:t>4</w:t>
      </w:r>
      <w:r>
        <w:rPr>
          <w:rFonts w:hAnsi="宋体"/>
          <w:b w:val="0"/>
          <w:bCs w:val="0"/>
          <w:sz w:val="24"/>
          <w:szCs w:val="24"/>
          <w:lang w:val="en-US"/>
        </w:rPr>
        <w:t>.</w:t>
      </w:r>
      <w:r>
        <w:rPr>
          <w:rFonts w:hint="eastAsia" w:hAnsi="宋体"/>
          <w:b w:val="0"/>
          <w:bCs w:val="0"/>
          <w:sz w:val="24"/>
          <w:szCs w:val="24"/>
          <w:lang w:val="en-US"/>
        </w:rPr>
        <w:t>基金托管人对所托管的不同基金财产分别设置账户，与基金托管人的其他业务和其他基金的托管业务实行严格的分账管理，独立核算，确保基金财产的完整和独立。</w:t>
      </w:r>
    </w:p>
    <w:p>
      <w:pPr>
        <w:pStyle w:val="66"/>
        <w:ind w:firstLine="480"/>
        <w:rPr>
          <w:rFonts w:hAnsi="宋体"/>
          <w:b w:val="0"/>
          <w:bCs w:val="0"/>
          <w:sz w:val="24"/>
          <w:szCs w:val="24"/>
          <w:lang w:val="en-US"/>
        </w:rPr>
      </w:pPr>
      <w:r>
        <w:rPr>
          <w:rFonts w:hint="eastAsia" w:hAnsi="宋体"/>
          <w:b w:val="0"/>
          <w:bCs w:val="0"/>
          <w:sz w:val="24"/>
          <w:szCs w:val="24"/>
          <w:lang w:val="en-US"/>
        </w:rPr>
        <w:t>5</w:t>
      </w:r>
      <w:r>
        <w:rPr>
          <w:rFonts w:hAnsi="宋体"/>
          <w:b w:val="0"/>
          <w:bCs w:val="0"/>
          <w:sz w:val="24"/>
          <w:szCs w:val="24"/>
          <w:lang w:val="en-US"/>
        </w:rPr>
        <w:t>.</w:t>
      </w:r>
      <w:r>
        <w:rPr>
          <w:rFonts w:hint="eastAsia" w:hAnsi="宋体"/>
          <w:b w:val="0"/>
          <w:bCs w:val="0"/>
          <w:sz w:val="24"/>
          <w:szCs w:val="24"/>
          <w:lang w:val="en-US"/>
        </w:rPr>
        <w:t>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对此不承担任何责任，但应当予以必要的配合与协助。</w:t>
      </w:r>
    </w:p>
    <w:p>
      <w:pPr>
        <w:pStyle w:val="66"/>
        <w:ind w:firstLine="480"/>
        <w:rPr>
          <w:rFonts w:hAnsi="宋体"/>
          <w:b w:val="0"/>
          <w:bCs w:val="0"/>
          <w:sz w:val="24"/>
          <w:szCs w:val="24"/>
          <w:lang w:val="en-US"/>
        </w:rPr>
      </w:pPr>
      <w:r>
        <w:rPr>
          <w:rFonts w:hint="eastAsia" w:hAnsi="宋体"/>
          <w:b w:val="0"/>
          <w:bCs w:val="0"/>
          <w:sz w:val="24"/>
          <w:szCs w:val="24"/>
          <w:lang w:val="en-US"/>
        </w:rPr>
        <w:t>（二）基金募集资产的验证</w:t>
      </w:r>
    </w:p>
    <w:p>
      <w:pPr>
        <w:pStyle w:val="66"/>
        <w:ind w:firstLine="480"/>
        <w:rPr>
          <w:rFonts w:hAnsi="宋体"/>
          <w:b w:val="0"/>
          <w:bCs w:val="0"/>
          <w:sz w:val="24"/>
          <w:szCs w:val="24"/>
          <w:lang w:val="en-US"/>
        </w:rPr>
      </w:pPr>
      <w:r>
        <w:rPr>
          <w:rFonts w:hint="eastAsia" w:hAnsi="宋体"/>
          <w:b w:val="0"/>
          <w:bCs w:val="0"/>
          <w:sz w:val="24"/>
          <w:szCs w:val="24"/>
          <w:lang w:val="en-US"/>
        </w:rPr>
        <w:t>基金募集期满或基金提前结束募集之日起10日内，由基金管理人聘请符合《中华人民共和国证券法》规定的会计师事务所进行验资，出具验资报告，出具的验资报告应由参加验资的2名以上（含2名）中国注册会计师签字有效。验资完成，基金管理人应将募集到的全部资金存入基金托管人为基金开立的基金银行存款账户中，基金托管人在收到资金当日出具相关证明文件。</w:t>
      </w:r>
    </w:p>
    <w:p>
      <w:pPr>
        <w:pStyle w:val="66"/>
        <w:ind w:firstLine="480"/>
        <w:rPr>
          <w:rFonts w:hAnsi="宋体"/>
          <w:b w:val="0"/>
          <w:bCs w:val="0"/>
          <w:sz w:val="24"/>
          <w:szCs w:val="24"/>
          <w:lang w:val="en-US"/>
        </w:rPr>
      </w:pPr>
      <w:r>
        <w:rPr>
          <w:rFonts w:hint="eastAsia" w:hAnsi="宋体"/>
          <w:b w:val="0"/>
          <w:bCs w:val="0"/>
          <w:sz w:val="24"/>
          <w:szCs w:val="24"/>
          <w:lang w:val="en-US"/>
        </w:rPr>
        <w:t>（三）基金的银行存款账户的开立和管理</w:t>
      </w:r>
    </w:p>
    <w:p>
      <w:pPr>
        <w:pStyle w:val="66"/>
        <w:ind w:firstLine="480"/>
        <w:rPr>
          <w:rFonts w:hAnsi="宋体"/>
          <w:b w:val="0"/>
          <w:bCs w:val="0"/>
          <w:sz w:val="24"/>
          <w:szCs w:val="24"/>
          <w:lang w:val="en-US"/>
        </w:rPr>
      </w:pPr>
      <w:r>
        <w:rPr>
          <w:rFonts w:hint="eastAsia" w:hAnsi="宋体"/>
          <w:b w:val="0"/>
          <w:bCs w:val="0"/>
          <w:sz w:val="24"/>
          <w:szCs w:val="24"/>
          <w:lang w:val="en-US"/>
        </w:rPr>
        <w:t>1.基金托管人应负责本基金银行存款账户的开立和管理。</w:t>
      </w:r>
    </w:p>
    <w:p>
      <w:pPr>
        <w:pStyle w:val="66"/>
        <w:ind w:firstLine="480"/>
        <w:rPr>
          <w:rFonts w:hAnsi="宋体"/>
          <w:b w:val="0"/>
          <w:bCs w:val="0"/>
          <w:sz w:val="24"/>
          <w:szCs w:val="24"/>
          <w:lang w:val="en-US"/>
        </w:rPr>
      </w:pPr>
      <w:r>
        <w:rPr>
          <w:rFonts w:hint="eastAsia" w:hAnsi="宋体"/>
          <w:b w:val="0"/>
          <w:bCs w:val="0"/>
          <w:sz w:val="24"/>
          <w:szCs w:val="24"/>
          <w:lang w:val="en-US"/>
        </w:rPr>
        <w:t>2.基金托管人以本基金的名义在其营业机构开立基金的银行存款账户，并根据基金管理人合法合规的指令办理资金收付。本基金的银行预留印鉴由基金托管人保管和使用。本基金的一切货币收支活动，包括但不限于投资、支付赎回金额、支付基金收益，均需通过本基金的银行存款账户进行。</w:t>
      </w:r>
    </w:p>
    <w:p>
      <w:pPr>
        <w:pStyle w:val="66"/>
        <w:ind w:firstLine="480"/>
        <w:rPr>
          <w:rFonts w:hAnsi="宋体"/>
          <w:b w:val="0"/>
          <w:bCs w:val="0"/>
          <w:sz w:val="24"/>
          <w:szCs w:val="24"/>
          <w:lang w:val="en-US"/>
        </w:rPr>
      </w:pPr>
      <w:r>
        <w:rPr>
          <w:rFonts w:hint="eastAsia" w:hAnsi="宋体"/>
          <w:b w:val="0"/>
          <w:bCs w:val="0"/>
          <w:sz w:val="24"/>
          <w:szCs w:val="24"/>
          <w:lang w:val="en-US"/>
        </w:rPr>
        <w:t>3.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pPr>
        <w:pStyle w:val="66"/>
        <w:ind w:firstLine="480"/>
        <w:rPr>
          <w:rFonts w:hAnsi="宋体"/>
          <w:b w:val="0"/>
          <w:bCs w:val="0"/>
          <w:sz w:val="24"/>
          <w:szCs w:val="24"/>
          <w:lang w:val="en-US"/>
        </w:rPr>
      </w:pPr>
      <w:r>
        <w:rPr>
          <w:rFonts w:hint="eastAsia" w:hAnsi="宋体"/>
          <w:b w:val="0"/>
          <w:bCs w:val="0"/>
          <w:sz w:val="24"/>
          <w:szCs w:val="24"/>
          <w:lang w:val="en-US"/>
        </w:rPr>
        <w:t>4.基金托管人可以通过申请开通本基金银行账户的企业网上银行业务进行资金支付，并使用交通银行企业网上银行（简称“交通银行网银”）办理托管资产的资金结算汇划业务。</w:t>
      </w:r>
    </w:p>
    <w:p>
      <w:pPr>
        <w:pStyle w:val="66"/>
        <w:ind w:firstLine="480"/>
        <w:rPr>
          <w:rFonts w:hAnsi="宋体"/>
          <w:b w:val="0"/>
          <w:bCs w:val="0"/>
          <w:sz w:val="24"/>
          <w:szCs w:val="24"/>
          <w:lang w:val="en-US"/>
        </w:rPr>
      </w:pPr>
      <w:r>
        <w:rPr>
          <w:rFonts w:hint="eastAsia" w:hAnsi="宋体"/>
          <w:b w:val="0"/>
          <w:bCs w:val="0"/>
          <w:sz w:val="24"/>
          <w:szCs w:val="24"/>
          <w:lang w:val="en-US"/>
        </w:rPr>
        <w:t>5.基金银行存款账户的管理应符合银行业监督管理机构的有关规定。</w:t>
      </w:r>
    </w:p>
    <w:p>
      <w:pPr>
        <w:pStyle w:val="66"/>
        <w:ind w:firstLine="480"/>
        <w:rPr>
          <w:rFonts w:hAnsi="宋体"/>
          <w:b w:val="0"/>
          <w:bCs w:val="0"/>
          <w:sz w:val="24"/>
          <w:szCs w:val="24"/>
          <w:lang w:val="en-US"/>
        </w:rPr>
      </w:pPr>
      <w:r>
        <w:rPr>
          <w:rFonts w:hint="eastAsia" w:hAnsi="宋体"/>
          <w:b w:val="0"/>
          <w:bCs w:val="0"/>
          <w:sz w:val="24"/>
          <w:szCs w:val="24"/>
          <w:lang w:val="en-US"/>
        </w:rPr>
        <w:t>（四）基金证券交收账户、资金交收账户的开立和管理</w:t>
      </w:r>
    </w:p>
    <w:p>
      <w:pPr>
        <w:pStyle w:val="66"/>
        <w:ind w:firstLine="480"/>
        <w:rPr>
          <w:rFonts w:hAnsi="宋体"/>
          <w:b w:val="0"/>
          <w:bCs w:val="0"/>
          <w:sz w:val="24"/>
          <w:szCs w:val="24"/>
          <w:lang w:val="en-US"/>
        </w:rPr>
      </w:pPr>
      <w:r>
        <w:rPr>
          <w:rFonts w:hint="eastAsia" w:hAnsi="宋体"/>
          <w:b w:val="0"/>
          <w:bCs w:val="0"/>
          <w:sz w:val="24"/>
          <w:szCs w:val="24"/>
          <w:lang w:val="en-US"/>
        </w:rPr>
        <w:t>基金托管人以基金托管人和本基金联名的方式在中国证券登记结算有限责任公司开立证券账户。</w:t>
      </w:r>
    </w:p>
    <w:p>
      <w:pPr>
        <w:pStyle w:val="66"/>
        <w:ind w:firstLine="480"/>
        <w:rPr>
          <w:rFonts w:hAnsi="宋体"/>
          <w:b w:val="0"/>
          <w:bCs w:val="0"/>
          <w:sz w:val="24"/>
          <w:szCs w:val="24"/>
          <w:lang w:val="en-US"/>
        </w:rPr>
      </w:pPr>
      <w:r>
        <w:rPr>
          <w:rFonts w:hint="eastAsia" w:hAnsi="宋体"/>
          <w:b w:val="0"/>
          <w:bCs w:val="0"/>
          <w:sz w:val="24"/>
          <w:szCs w:val="24"/>
          <w:lang w:val="en-US"/>
        </w:rPr>
        <w:t>基金证券账户的开立和使用，限于满足开展本基金业务的需要。基金托管人和基金管理人不得出借和未经对方同意擅自转让基金的任何证券账户；亦不得使用基金的任何账户进行本基金业务以外的活动。</w:t>
      </w:r>
    </w:p>
    <w:p>
      <w:pPr>
        <w:pStyle w:val="66"/>
        <w:ind w:firstLine="480"/>
        <w:rPr>
          <w:rFonts w:hAnsi="宋体"/>
          <w:b w:val="0"/>
          <w:bCs w:val="0"/>
          <w:sz w:val="24"/>
          <w:szCs w:val="24"/>
          <w:lang w:val="en-US"/>
        </w:rPr>
      </w:pPr>
      <w:r>
        <w:rPr>
          <w:rFonts w:hint="eastAsia" w:hAnsi="宋体"/>
          <w:b w:val="0"/>
          <w:bCs w:val="0"/>
          <w:sz w:val="24"/>
          <w:szCs w:val="24"/>
          <w:lang w:val="en-US"/>
        </w:rPr>
        <w:t>基金管理人不得对基金证券交收账户、资金交收账户进行证券的超卖或超买。基金证券账户资产的管理和运用由基金管理人负责。</w:t>
      </w:r>
    </w:p>
    <w:p>
      <w:pPr>
        <w:pStyle w:val="66"/>
        <w:ind w:firstLine="480"/>
        <w:rPr>
          <w:rFonts w:hAnsi="宋体"/>
          <w:b w:val="0"/>
          <w:bCs w:val="0"/>
          <w:sz w:val="24"/>
          <w:szCs w:val="24"/>
          <w:lang w:val="en-US"/>
        </w:rPr>
      </w:pPr>
      <w:r>
        <w:rPr>
          <w:rFonts w:hint="eastAsia" w:hAnsi="宋体"/>
          <w:b w:val="0"/>
          <w:bCs w:val="0"/>
          <w:sz w:val="24"/>
          <w:szCs w:val="24"/>
          <w:lang w:val="en-US"/>
        </w:rPr>
        <w:t>基金托管人以基金托管人的名义在中国证券登记结算有限责任公司开立结算备付金账户即资金交收账户，用于证券交易资金的结算。基金托管人以本基金的名义在托管人处开立基金的证券交易资金结算的二级结算备付金账户。</w:t>
      </w:r>
    </w:p>
    <w:p>
      <w:pPr>
        <w:pStyle w:val="66"/>
        <w:ind w:firstLine="480"/>
        <w:rPr>
          <w:rFonts w:hAnsi="宋体"/>
          <w:b w:val="0"/>
          <w:bCs w:val="0"/>
          <w:sz w:val="24"/>
          <w:szCs w:val="24"/>
          <w:lang w:val="en-US"/>
        </w:rPr>
      </w:pPr>
      <w:r>
        <w:rPr>
          <w:rFonts w:hint="eastAsia" w:hAnsi="宋体"/>
          <w:b w:val="0"/>
          <w:bCs w:val="0"/>
          <w:sz w:val="24"/>
          <w:szCs w:val="24"/>
          <w:lang w:val="en-US"/>
        </w:rPr>
        <w:t>（五）债券托管账户的开立和管理</w:t>
      </w:r>
    </w:p>
    <w:p>
      <w:pPr>
        <w:pStyle w:val="66"/>
        <w:ind w:firstLine="480"/>
        <w:rPr>
          <w:rFonts w:hAnsi="宋体"/>
          <w:b w:val="0"/>
          <w:bCs w:val="0"/>
          <w:sz w:val="24"/>
          <w:szCs w:val="24"/>
          <w:lang w:val="en-US"/>
        </w:rPr>
      </w:pPr>
      <w:r>
        <w:rPr>
          <w:rFonts w:hint="eastAsia" w:hAnsi="宋体"/>
          <w:b w:val="0"/>
          <w:bCs w:val="0"/>
          <w:sz w:val="24"/>
          <w:szCs w:val="24"/>
          <w:lang w:val="en-US"/>
        </w:rPr>
        <w:t>1</w:t>
      </w:r>
      <w:r>
        <w:rPr>
          <w:rFonts w:hAnsi="宋体"/>
          <w:b w:val="0"/>
          <w:bCs w:val="0"/>
          <w:sz w:val="24"/>
          <w:szCs w:val="24"/>
          <w:lang w:val="en-US"/>
        </w:rPr>
        <w:t>.</w:t>
      </w:r>
      <w:r>
        <w:rPr>
          <w:rFonts w:hint="eastAsia" w:hAnsi="宋体"/>
          <w:b w:val="0"/>
          <w:bCs w:val="0"/>
          <w:sz w:val="24"/>
          <w:szCs w:val="24"/>
          <w:lang w:val="en-US"/>
        </w:rPr>
        <w:t>基金合同生效后，基金管理人负责向中国人民银行进行报备，基金托管人在备案通过后在中央国债登记结算有限责任公司及银行间市场清算所股份有限公司以本基金的名义开立债券托管账户，并由基金托管人负责基金的债券及资金的清算。基金管理人负责申请基金进入全国银行间同业拆借市场进行交易，由基金管理人在中国外汇交易中心开设同业拆借市场交易账户。</w:t>
      </w:r>
    </w:p>
    <w:p>
      <w:pPr>
        <w:pStyle w:val="66"/>
        <w:ind w:firstLine="480"/>
        <w:rPr>
          <w:rFonts w:hAnsi="宋体"/>
          <w:b w:val="0"/>
          <w:bCs w:val="0"/>
          <w:sz w:val="24"/>
          <w:szCs w:val="24"/>
          <w:lang w:val="en-US"/>
        </w:rPr>
      </w:pPr>
      <w:r>
        <w:rPr>
          <w:rFonts w:hint="eastAsia" w:hAnsi="宋体"/>
          <w:b w:val="0"/>
          <w:bCs w:val="0"/>
          <w:sz w:val="24"/>
          <w:szCs w:val="24"/>
          <w:lang w:val="en-US"/>
        </w:rPr>
        <w:t>2</w:t>
      </w:r>
      <w:r>
        <w:rPr>
          <w:rFonts w:hAnsi="宋体"/>
          <w:b w:val="0"/>
          <w:bCs w:val="0"/>
          <w:sz w:val="24"/>
          <w:szCs w:val="24"/>
          <w:lang w:val="en-US"/>
        </w:rPr>
        <w:t>.</w:t>
      </w:r>
      <w:r>
        <w:rPr>
          <w:rFonts w:hint="eastAsia" w:hAnsi="宋体"/>
          <w:b w:val="0"/>
          <w:bCs w:val="0"/>
          <w:sz w:val="24"/>
          <w:szCs w:val="24"/>
          <w:lang w:val="en-US"/>
        </w:rPr>
        <w:t>基金管理人代表基金签订全国银行间债券市场债券回购主协议，协议正本由基金管理人保存。</w:t>
      </w:r>
    </w:p>
    <w:p>
      <w:pPr>
        <w:pStyle w:val="66"/>
        <w:ind w:firstLine="480"/>
        <w:rPr>
          <w:rFonts w:hAnsi="宋体"/>
          <w:b w:val="0"/>
          <w:bCs w:val="0"/>
          <w:sz w:val="24"/>
          <w:szCs w:val="24"/>
          <w:lang w:val="en-US"/>
        </w:rPr>
      </w:pPr>
      <w:r>
        <w:rPr>
          <w:rFonts w:hint="eastAsia" w:hAnsi="宋体"/>
          <w:b w:val="0"/>
          <w:bCs w:val="0"/>
          <w:sz w:val="24"/>
          <w:szCs w:val="24"/>
          <w:lang w:val="en-US"/>
        </w:rPr>
        <w:t>（六）期货相关账户的开立和管理</w:t>
      </w:r>
    </w:p>
    <w:p>
      <w:pPr>
        <w:pStyle w:val="66"/>
        <w:ind w:firstLine="480"/>
        <w:rPr>
          <w:rFonts w:hAnsi="宋体"/>
          <w:b w:val="0"/>
          <w:bCs w:val="0"/>
          <w:sz w:val="24"/>
          <w:szCs w:val="24"/>
          <w:lang w:val="en-US"/>
        </w:rPr>
      </w:pPr>
      <w:r>
        <w:rPr>
          <w:rFonts w:hint="eastAsia" w:hAnsi="宋体"/>
          <w:b w:val="0"/>
          <w:bCs w:val="0"/>
          <w:sz w:val="24"/>
          <w:szCs w:val="24"/>
          <w:lang w:val="en-US"/>
        </w:rPr>
        <w:t>基金管理人、基金托管人应当按照相关规定开立期货资金账户，在中国金融期货交易所获取交易编码。期货资金账户名称及交易编码对应名称应按照有关规定设立。</w:t>
      </w:r>
    </w:p>
    <w:p>
      <w:pPr>
        <w:pStyle w:val="66"/>
        <w:ind w:firstLine="480"/>
        <w:rPr>
          <w:rFonts w:hAnsi="宋体"/>
          <w:b w:val="0"/>
          <w:bCs w:val="0"/>
          <w:sz w:val="24"/>
          <w:szCs w:val="24"/>
          <w:lang w:val="en-US"/>
        </w:rPr>
      </w:pPr>
      <w:r>
        <w:rPr>
          <w:rFonts w:hint="eastAsia" w:hAnsi="宋体"/>
          <w:b w:val="0"/>
          <w:bCs w:val="0"/>
          <w:sz w:val="24"/>
          <w:szCs w:val="24"/>
          <w:lang w:val="en-US"/>
        </w:rPr>
        <w:t>基金托管人已取得期货保证金存管银行资格，基金管理人授权基金托管人办理相关银期转账业务。</w:t>
      </w:r>
    </w:p>
    <w:p>
      <w:pPr>
        <w:pStyle w:val="66"/>
        <w:ind w:firstLine="480"/>
        <w:rPr>
          <w:rFonts w:hAnsi="宋体"/>
          <w:b w:val="0"/>
          <w:bCs w:val="0"/>
          <w:sz w:val="24"/>
          <w:szCs w:val="24"/>
          <w:lang w:val="en-US"/>
        </w:rPr>
      </w:pPr>
      <w:r>
        <w:rPr>
          <w:rFonts w:hint="eastAsia" w:hAnsi="宋体"/>
          <w:b w:val="0"/>
          <w:bCs w:val="0"/>
          <w:sz w:val="24"/>
          <w:szCs w:val="24"/>
          <w:lang w:val="en-US"/>
        </w:rPr>
        <w:t>（七）基金投资银行存款账户的开立和管理</w:t>
      </w:r>
    </w:p>
    <w:p>
      <w:pPr>
        <w:pStyle w:val="66"/>
        <w:ind w:firstLine="480"/>
        <w:rPr>
          <w:rFonts w:hAnsi="宋体"/>
          <w:b w:val="0"/>
          <w:bCs w:val="0"/>
          <w:sz w:val="24"/>
          <w:szCs w:val="24"/>
          <w:lang w:val="en-US"/>
        </w:rPr>
      </w:pPr>
      <w:r>
        <w:rPr>
          <w:rFonts w:hAnsi="宋体"/>
          <w:b w:val="0"/>
          <w:bCs w:val="0"/>
          <w:sz w:val="24"/>
          <w:szCs w:val="24"/>
          <w:lang w:val="en-US"/>
        </w:rPr>
        <w:t>存款账户必须以基金名义开立，账户名称为基金名称，存款账户开户文件上加盖预留印鉴（须包括托管人印章）及基金管理人公章。</w:t>
      </w:r>
    </w:p>
    <w:p>
      <w:pPr>
        <w:pStyle w:val="66"/>
        <w:ind w:firstLine="480"/>
        <w:rPr>
          <w:rFonts w:hAnsi="宋体"/>
          <w:b w:val="0"/>
          <w:bCs w:val="0"/>
          <w:sz w:val="24"/>
          <w:szCs w:val="24"/>
          <w:lang w:val="en-US"/>
        </w:rPr>
      </w:pPr>
      <w:r>
        <w:rPr>
          <w:rFonts w:hAnsi="宋体"/>
          <w:b w:val="0"/>
          <w:bCs w:val="0"/>
          <w:sz w:val="24"/>
          <w:szCs w:val="24"/>
          <w:lang w:val="en-US"/>
        </w:rPr>
        <w:t>本基金投资银行存款时，基金管理人应当与存款银行签订具体存款协议/存款确认单据，明确存款的类型、期限、利率、金额、账号、对账方式、支取方式、存款到期指定收款账户等细则。</w:t>
      </w:r>
    </w:p>
    <w:p>
      <w:pPr>
        <w:pStyle w:val="66"/>
        <w:ind w:firstLine="480"/>
        <w:rPr>
          <w:rFonts w:hAnsi="宋体"/>
          <w:b w:val="0"/>
          <w:bCs w:val="0"/>
          <w:sz w:val="24"/>
          <w:szCs w:val="24"/>
          <w:lang w:val="en-US"/>
        </w:rPr>
      </w:pPr>
      <w:r>
        <w:rPr>
          <w:rFonts w:hAnsi="宋体"/>
          <w:b w:val="0"/>
          <w:bCs w:val="0"/>
          <w:sz w:val="24"/>
          <w:szCs w:val="24"/>
          <w:lang w:val="en-US"/>
        </w:rPr>
        <w:t>为防范特殊情况下的流动性风险，</w:t>
      </w:r>
      <w:r>
        <w:rPr>
          <w:rFonts w:hint="eastAsia" w:hAnsi="宋体"/>
          <w:b w:val="0"/>
          <w:bCs w:val="0"/>
          <w:sz w:val="24"/>
          <w:szCs w:val="24"/>
          <w:lang w:val="en-US"/>
        </w:rPr>
        <w:t>定期</w:t>
      </w:r>
      <w:r>
        <w:rPr>
          <w:rFonts w:hAnsi="宋体"/>
          <w:b w:val="0"/>
          <w:bCs w:val="0"/>
          <w:sz w:val="24"/>
          <w:szCs w:val="24"/>
          <w:lang w:val="en-US"/>
        </w:rPr>
        <w:t>存款协议中应当约定提前支取条款。</w:t>
      </w:r>
    </w:p>
    <w:p>
      <w:pPr>
        <w:pStyle w:val="66"/>
        <w:ind w:firstLine="480"/>
        <w:rPr>
          <w:rFonts w:hAnsi="宋体"/>
          <w:b w:val="0"/>
          <w:bCs w:val="0"/>
          <w:sz w:val="24"/>
          <w:szCs w:val="24"/>
          <w:lang w:val="en-US"/>
        </w:rPr>
      </w:pPr>
      <w:r>
        <w:rPr>
          <w:rFonts w:hint="eastAsia" w:hAnsi="宋体"/>
          <w:b w:val="0"/>
          <w:bCs w:val="0"/>
          <w:sz w:val="24"/>
          <w:szCs w:val="24"/>
          <w:lang w:val="en-US"/>
        </w:rPr>
        <w:t>（八）</w:t>
      </w:r>
      <w:r>
        <w:rPr>
          <w:rFonts w:hAnsi="宋体"/>
          <w:b w:val="0"/>
          <w:bCs w:val="0"/>
          <w:sz w:val="24"/>
          <w:szCs w:val="24"/>
          <w:lang w:val="en-US"/>
        </w:rPr>
        <w:t>其他账户的开立和管理</w:t>
      </w:r>
    </w:p>
    <w:p>
      <w:pPr>
        <w:pStyle w:val="66"/>
        <w:ind w:firstLine="480"/>
        <w:rPr>
          <w:rFonts w:hAnsi="宋体"/>
          <w:b w:val="0"/>
          <w:bCs w:val="0"/>
          <w:sz w:val="24"/>
          <w:szCs w:val="24"/>
          <w:lang w:val="en-US"/>
        </w:rPr>
      </w:pPr>
      <w:r>
        <w:rPr>
          <w:rFonts w:hAnsi="宋体"/>
          <w:b w:val="0"/>
          <w:bCs w:val="0"/>
          <w:sz w:val="24"/>
          <w:szCs w:val="24"/>
          <w:lang w:val="en-US"/>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pPr>
        <w:pStyle w:val="66"/>
        <w:ind w:firstLine="480"/>
        <w:rPr>
          <w:rFonts w:hAnsi="宋体"/>
          <w:b w:val="0"/>
          <w:bCs w:val="0"/>
          <w:sz w:val="24"/>
          <w:szCs w:val="24"/>
          <w:lang w:val="en-US"/>
        </w:rPr>
      </w:pPr>
      <w:r>
        <w:rPr>
          <w:rFonts w:hint="eastAsia" w:hAnsi="宋体"/>
          <w:b w:val="0"/>
          <w:bCs w:val="0"/>
          <w:sz w:val="24"/>
          <w:szCs w:val="24"/>
          <w:lang w:val="en-US"/>
        </w:rPr>
        <w:t>（九）基金财产投资的有关实物证券、银行存款定期存单等有价凭证的保管</w:t>
      </w:r>
    </w:p>
    <w:p>
      <w:pPr>
        <w:pStyle w:val="66"/>
        <w:ind w:firstLine="480"/>
        <w:rPr>
          <w:rFonts w:hAnsi="宋体"/>
          <w:b w:val="0"/>
          <w:bCs w:val="0"/>
          <w:sz w:val="24"/>
          <w:szCs w:val="24"/>
          <w:lang w:val="en-US"/>
        </w:rPr>
      </w:pPr>
      <w:r>
        <w:rPr>
          <w:rFonts w:hint="eastAsia" w:hAnsi="宋体"/>
          <w:b w:val="0"/>
          <w:bCs w:val="0"/>
          <w:sz w:val="24"/>
          <w:szCs w:val="24"/>
          <w:lang w:val="en-US"/>
        </w:rPr>
        <w:t>实物证券由基金托管人存放于基金托管人的保管库。实物证券的购买和转让，由基金托管人根据基金管理人的指令办理。基金托管人对由基金托管人以外机构实际有效控制的本基金资产不承担保管责任。</w:t>
      </w:r>
    </w:p>
    <w:p>
      <w:pPr>
        <w:pStyle w:val="66"/>
        <w:ind w:firstLine="480"/>
        <w:rPr>
          <w:rFonts w:hAnsi="宋体"/>
          <w:b w:val="0"/>
          <w:bCs w:val="0"/>
          <w:sz w:val="24"/>
          <w:szCs w:val="24"/>
          <w:lang w:val="en-US"/>
        </w:rPr>
      </w:pPr>
      <w:r>
        <w:rPr>
          <w:rFonts w:hint="eastAsia" w:hAnsi="宋体"/>
          <w:b w:val="0"/>
          <w:bCs w:val="0"/>
          <w:sz w:val="24"/>
          <w:szCs w:val="24"/>
          <w:lang w:val="en-US"/>
        </w:rPr>
        <w:t>银行存款定期存单等有价凭证由基金托管人负责保管。</w:t>
      </w:r>
    </w:p>
    <w:p>
      <w:pPr>
        <w:pStyle w:val="66"/>
        <w:ind w:firstLine="480"/>
        <w:rPr>
          <w:rFonts w:hAnsi="宋体"/>
          <w:b w:val="0"/>
          <w:bCs w:val="0"/>
          <w:sz w:val="24"/>
          <w:szCs w:val="24"/>
          <w:lang w:val="en-US"/>
        </w:rPr>
      </w:pPr>
      <w:r>
        <w:rPr>
          <w:rFonts w:hint="eastAsia" w:hAnsi="宋体"/>
          <w:b w:val="0"/>
          <w:bCs w:val="0"/>
          <w:sz w:val="24"/>
          <w:szCs w:val="24"/>
          <w:lang w:val="en-US"/>
        </w:rPr>
        <w:t>基金托管人只负责对存款证实书进行保管，不负责对存款证实书真伪的辨别，不承担存款证实书对应存款的本金及收益的安全保管责任。</w:t>
      </w:r>
      <w:bookmarkStart w:id="67" w:name="_Hlt88900318"/>
      <w:bookmarkEnd w:id="67"/>
      <w:bookmarkStart w:id="68" w:name="_Hlt88821719"/>
      <w:bookmarkEnd w:id="68"/>
      <w:bookmarkStart w:id="69" w:name="_Hlt112616834"/>
      <w:bookmarkEnd w:id="69"/>
    </w:p>
    <w:p>
      <w:pPr>
        <w:pStyle w:val="66"/>
        <w:ind w:firstLine="480"/>
        <w:rPr>
          <w:rFonts w:hAnsi="宋体"/>
          <w:b w:val="0"/>
          <w:bCs w:val="0"/>
          <w:sz w:val="24"/>
          <w:szCs w:val="24"/>
          <w:lang w:val="en-US"/>
        </w:rPr>
      </w:pPr>
      <w:r>
        <w:rPr>
          <w:rFonts w:hint="eastAsia" w:hAnsi="宋体"/>
          <w:b w:val="0"/>
          <w:bCs w:val="0"/>
          <w:sz w:val="24"/>
          <w:szCs w:val="24"/>
          <w:lang w:val="en-US"/>
        </w:rPr>
        <w:t>（十）与基金财产有关的重大合同的保管</w:t>
      </w:r>
    </w:p>
    <w:p>
      <w:pPr>
        <w:pStyle w:val="66"/>
        <w:ind w:firstLine="480"/>
        <w:rPr>
          <w:rFonts w:hAnsi="宋体"/>
          <w:b w:val="0"/>
          <w:bCs w:val="0"/>
          <w:sz w:val="24"/>
          <w:szCs w:val="24"/>
          <w:lang w:val="en-US"/>
        </w:rPr>
      </w:pPr>
      <w:r>
        <w:rPr>
          <w:rFonts w:hint="eastAsia" w:hAnsi="宋体"/>
          <w:b w:val="0"/>
          <w:bCs w:val="0"/>
          <w:sz w:val="24"/>
          <w:szCs w:val="24"/>
          <w:lang w:val="en-US"/>
        </w:rPr>
        <w:t>由基金管理人代表基金签署的与基金有关的重大合同的原件分别由基金托管人、基金管理人保管，相关业务程序另有限制除外。除本托管协议另有规定外，基金管理人在代表基金签署与基金有关的重大合同时应尽可能保证持有二份以上的正本，以便基金管理人和基金托管人至少各持有一份正本的原件，基金管理人应及时将正本送达基金托管人处。合同的保管期限不低于法律法规的规定。</w:t>
      </w:r>
    </w:p>
    <w:p>
      <w:pPr>
        <w:pStyle w:val="66"/>
        <w:ind w:firstLine="480"/>
        <w:rPr>
          <w:rFonts w:hAnsi="宋体"/>
          <w:b w:val="0"/>
          <w:bCs w:val="0"/>
          <w:sz w:val="24"/>
          <w:szCs w:val="24"/>
          <w:lang w:val="en-US"/>
        </w:rPr>
      </w:pPr>
      <w:r>
        <w:rPr>
          <w:rFonts w:hint="eastAsia" w:hAnsi="宋体"/>
          <w:b w:val="0"/>
          <w:bCs w:val="0"/>
          <w:sz w:val="24"/>
          <w:szCs w:val="24"/>
          <w:lang w:val="en-US"/>
        </w:rPr>
        <w:t>对于无法取得二份以上的正本的，基金管理人应向基金托管人提供加盖授权业务章的合同传真件，未经双方协商或未在合同约定范围内，合同原件不得转移。</w:t>
      </w:r>
    </w:p>
    <w:p>
      <w:pPr>
        <w:pStyle w:val="66"/>
        <w:ind w:firstLine="480"/>
        <w:rPr>
          <w:b w:val="0"/>
          <w:sz w:val="24"/>
          <w:lang w:val="en-US"/>
        </w:rPr>
      </w:pPr>
      <w:r>
        <w:rPr>
          <w:rFonts w:hint="eastAsia"/>
          <w:b w:val="0"/>
          <w:sz w:val="24"/>
        </w:rPr>
        <w:t>五、基金资产净值及基金份额净值的计算与复核</w:t>
      </w:r>
    </w:p>
    <w:p>
      <w:pPr>
        <w:pStyle w:val="66"/>
        <w:ind w:firstLine="480"/>
        <w:rPr>
          <w:b w:val="0"/>
          <w:sz w:val="24"/>
          <w:lang w:val="en-US"/>
        </w:rPr>
      </w:pPr>
      <w:r>
        <w:rPr>
          <w:b w:val="0"/>
          <w:sz w:val="24"/>
          <w:lang w:val="en-US"/>
        </w:rPr>
        <w:t>基金资产净值是指基金资产总值减去基金负债后的价值。</w:t>
      </w:r>
    </w:p>
    <w:p>
      <w:pPr>
        <w:pStyle w:val="66"/>
        <w:ind w:firstLine="480"/>
        <w:rPr>
          <w:b w:val="0"/>
          <w:sz w:val="24"/>
          <w:lang w:val="en-US"/>
        </w:rPr>
      </w:pPr>
      <w:r>
        <w:rPr>
          <w:b w:val="0"/>
          <w:sz w:val="24"/>
          <w:lang w:val="en-US"/>
        </w:rPr>
        <w:t>基金管理人应每估值日对基金资产估值。基金份额净值是按照每个估值日闭市后，</w:t>
      </w:r>
      <w:r>
        <w:rPr>
          <w:rFonts w:hint="eastAsia"/>
          <w:b w:val="0"/>
          <w:sz w:val="24"/>
          <w:lang w:val="en-US"/>
        </w:rPr>
        <w:t>A类基金份额和C类基金份额的</w:t>
      </w:r>
      <w:r>
        <w:rPr>
          <w:b w:val="0"/>
          <w:sz w:val="24"/>
          <w:lang w:val="en-US"/>
        </w:rPr>
        <w:t>基金资产净值</w:t>
      </w:r>
      <w:r>
        <w:rPr>
          <w:rFonts w:hint="eastAsia"/>
          <w:b w:val="0"/>
          <w:sz w:val="24"/>
          <w:lang w:val="en-US"/>
        </w:rPr>
        <w:t>分别</w:t>
      </w:r>
      <w:r>
        <w:rPr>
          <w:b w:val="0"/>
          <w:sz w:val="24"/>
          <w:lang w:val="en-US"/>
        </w:rPr>
        <w:t>除以当日</w:t>
      </w:r>
      <w:r>
        <w:rPr>
          <w:rFonts w:hint="eastAsia"/>
          <w:b w:val="0"/>
          <w:sz w:val="24"/>
          <w:lang w:val="en-US"/>
        </w:rPr>
        <w:t>该类</w:t>
      </w:r>
      <w:r>
        <w:rPr>
          <w:b w:val="0"/>
          <w:sz w:val="24"/>
          <w:lang w:val="en-US"/>
        </w:rPr>
        <w:t>基金份额的余额数量计算，</w:t>
      </w:r>
      <w:r>
        <w:rPr>
          <w:rFonts w:hint="eastAsia"/>
          <w:b w:val="0"/>
          <w:sz w:val="24"/>
          <w:lang w:val="en-US"/>
        </w:rPr>
        <w:t>均</w:t>
      </w:r>
      <w:r>
        <w:rPr>
          <w:b w:val="0"/>
          <w:sz w:val="24"/>
          <w:lang w:val="en-US"/>
        </w:rPr>
        <w:t>精确到0.0001元，小数点后第5位四舍五入。基金管理人可以设立大额赎回情形下的净值精度应急调整机制。国家另有规定的，从其规定。</w:t>
      </w:r>
    </w:p>
    <w:p>
      <w:pPr>
        <w:pStyle w:val="66"/>
        <w:ind w:firstLine="480"/>
        <w:rPr>
          <w:b w:val="0"/>
          <w:sz w:val="24"/>
          <w:lang w:val="en-US"/>
        </w:rPr>
      </w:pPr>
      <w:r>
        <w:rPr>
          <w:b w:val="0"/>
          <w:sz w:val="24"/>
          <w:lang w:val="en-US"/>
        </w:rPr>
        <w:t>估值原则应符合《基金合同》、《中国证监会关于证券投资基金估值业务的指导意见》及其他法律、法规的规定。基金资产净值和</w:t>
      </w:r>
      <w:r>
        <w:rPr>
          <w:rFonts w:hint="eastAsia"/>
          <w:b w:val="0"/>
          <w:sz w:val="24"/>
          <w:lang w:val="en-US"/>
        </w:rPr>
        <w:t>各类</w:t>
      </w:r>
      <w:r>
        <w:rPr>
          <w:b w:val="0"/>
          <w:sz w:val="24"/>
          <w:lang w:val="en-US"/>
        </w:rPr>
        <w:t>基金份额净值由基金管理人负责计算，基金托管人复核。基金管理人应于每个估值日交易结束后计算当日的基金资产净值和</w:t>
      </w:r>
      <w:r>
        <w:rPr>
          <w:rFonts w:hint="eastAsia"/>
          <w:b w:val="0"/>
          <w:sz w:val="24"/>
          <w:lang w:val="en-US"/>
        </w:rPr>
        <w:t>各类</w:t>
      </w:r>
      <w:r>
        <w:rPr>
          <w:b w:val="0"/>
          <w:sz w:val="24"/>
          <w:lang w:val="en-US"/>
        </w:rPr>
        <w:t>基金份额净值，以约定方式发送给基金托管人。基金托管人对净值计算结果复核后，将复核结果反馈给基金管理人，由基金管理人</w:t>
      </w:r>
      <w:r>
        <w:rPr>
          <w:rFonts w:hint="eastAsia"/>
          <w:b w:val="0"/>
          <w:sz w:val="24"/>
          <w:lang w:val="en-US"/>
        </w:rPr>
        <w:t>按约定</w:t>
      </w:r>
      <w:r>
        <w:rPr>
          <w:b w:val="0"/>
          <w:sz w:val="24"/>
          <w:lang w:val="en-US"/>
        </w:rPr>
        <w:t>对基金份额净值予以公布。</w:t>
      </w:r>
    </w:p>
    <w:p>
      <w:pPr>
        <w:pStyle w:val="66"/>
        <w:ind w:firstLine="480"/>
        <w:rPr>
          <w:b w:val="0"/>
          <w:sz w:val="24"/>
          <w:lang w:val="en-US"/>
        </w:rPr>
      </w:pPr>
      <w:r>
        <w:rPr>
          <w:b w:val="0"/>
          <w:sz w:val="24"/>
          <w:lang w:val="en-US"/>
        </w:rPr>
        <w:t xml:space="preserve">本基金按以下方法估值： </w:t>
      </w:r>
    </w:p>
    <w:p>
      <w:pPr>
        <w:pStyle w:val="66"/>
        <w:ind w:firstLine="480"/>
        <w:rPr>
          <w:b w:val="0"/>
          <w:sz w:val="24"/>
          <w:lang w:val="en-US"/>
        </w:rPr>
      </w:pPr>
      <w:r>
        <w:rPr>
          <w:rFonts w:hint="eastAsia"/>
          <w:b w:val="0"/>
          <w:sz w:val="24"/>
          <w:lang w:val="en-US"/>
        </w:rPr>
        <w:t>1</w:t>
      </w:r>
      <w:r>
        <w:rPr>
          <w:b w:val="0"/>
          <w:sz w:val="24"/>
          <w:lang w:val="en-US"/>
        </w:rPr>
        <w:t>、</w:t>
      </w:r>
      <w:r>
        <w:rPr>
          <w:rFonts w:hint="eastAsia"/>
          <w:b w:val="0"/>
          <w:sz w:val="24"/>
          <w:lang w:val="en-US"/>
        </w:rPr>
        <w:t>目标ETF的估值</w:t>
      </w:r>
    </w:p>
    <w:p>
      <w:pPr>
        <w:pStyle w:val="66"/>
        <w:ind w:firstLine="480"/>
        <w:rPr>
          <w:b w:val="0"/>
          <w:sz w:val="24"/>
          <w:lang w:val="en-US"/>
        </w:rPr>
      </w:pPr>
      <w:r>
        <w:rPr>
          <w:rFonts w:hint="eastAsia"/>
          <w:b w:val="0"/>
          <w:sz w:val="24"/>
          <w:lang w:val="en-US"/>
        </w:rPr>
        <w:t>本基金投资的目标ETF份额以其估值日基金份额净值估值。</w:t>
      </w:r>
    </w:p>
    <w:p>
      <w:pPr>
        <w:pStyle w:val="66"/>
        <w:ind w:firstLine="480"/>
        <w:rPr>
          <w:b w:val="0"/>
          <w:sz w:val="24"/>
          <w:lang w:val="en-US"/>
        </w:rPr>
      </w:pPr>
      <w:r>
        <w:rPr>
          <w:rFonts w:hint="eastAsia"/>
          <w:b w:val="0"/>
          <w:sz w:val="24"/>
          <w:lang w:val="en-US"/>
        </w:rPr>
        <w:t>2</w:t>
      </w:r>
      <w:r>
        <w:rPr>
          <w:b w:val="0"/>
          <w:sz w:val="24"/>
          <w:lang w:val="en-US"/>
        </w:rPr>
        <w:t>、证券交易所上市的有价证券的估值</w:t>
      </w:r>
    </w:p>
    <w:p>
      <w:pPr>
        <w:pStyle w:val="66"/>
        <w:ind w:firstLine="480"/>
        <w:rPr>
          <w:b w:val="0"/>
          <w:sz w:val="24"/>
          <w:lang w:val="en-US"/>
        </w:rPr>
      </w:pPr>
      <w:r>
        <w:rPr>
          <w:rFonts w:hint="eastAsia"/>
          <w:b w:val="0"/>
          <w:sz w:val="24"/>
          <w:lang w:val="en-US"/>
        </w:rPr>
        <w:t>（1）交易所上市的有价证券（包括股票等），以其估值日在证券交易所挂牌的市价（收盘价）估值；估值日无市价，但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值；</w:t>
      </w:r>
    </w:p>
    <w:p>
      <w:pPr>
        <w:pStyle w:val="66"/>
        <w:ind w:firstLine="480"/>
        <w:rPr>
          <w:b w:val="0"/>
          <w:sz w:val="24"/>
          <w:lang w:val="en-US"/>
        </w:rPr>
      </w:pPr>
      <w:r>
        <w:rPr>
          <w:rFonts w:hint="eastAsia"/>
          <w:b w:val="0"/>
          <w:sz w:val="24"/>
          <w:lang w:val="en-US"/>
        </w:rPr>
        <w:t>（2）对于已上市或已挂牌转让的不含权固定收益品种（法规另有规定的除外），选取第三方估值基准服务机构提供的相应品种当日的估值全价，基金管理人根据相关法律、法规的规定进行涉税处理(下同)</w:t>
      </w:r>
      <w:r>
        <w:rPr>
          <w:b w:val="0"/>
          <w:sz w:val="24"/>
          <w:lang w:val="en-US"/>
        </w:rPr>
        <w:t>。对于已上市或已挂牌转让的含权固定收益品种（法规另有规定的除外），选取第三方估值基准服务机构提供的相应品种当日的唯一估值全价或推荐估值全价。对于含投资者回售权的固定收益品种，行使回售权的，在回售登记日至实际收款日期间选取第三方估值基准服务机构提供的相应品种的唯一估值全价或推荐估值全价，同时充分考虑发行人的信用风险变化对公允价值的影响。回售登记期截止日（含当日）后未行使回售权的按照长待偿期所对应的价格进行估值。如最近交易日后经济环境发生了重大变化的，可参考类似投资品种的现行市价及重大变化因素，调整最近交易市价，确定公允价值；</w:t>
      </w:r>
    </w:p>
    <w:p>
      <w:pPr>
        <w:pStyle w:val="66"/>
        <w:ind w:firstLine="480"/>
        <w:rPr>
          <w:b w:val="0"/>
          <w:sz w:val="24"/>
          <w:lang w:val="en-US"/>
        </w:rPr>
      </w:pPr>
      <w:r>
        <w:rPr>
          <w:rFonts w:hint="eastAsia"/>
          <w:b w:val="0"/>
          <w:sz w:val="24"/>
          <w:lang w:val="en-US"/>
        </w:rPr>
        <w:t>（3）交易所上市交易的公开发行的可转换公司债券等有活跃市场的含转股权的债券，实行全价交易的债券选取估值日收盘价作为估值全价；实行净价交易的债券选取估值日收盘价并加计每百元税前应计利息作为估值全价。估值日没有交易的，且最近交易日后经济环境未发生重大变化，按最近交易日债券收盘价并加计每百元税前应计利息作为估值全价。如最近交易日后经济环境发生了重大变化的，可参考类似投资品种的现行市价及重大变化因素，调整最近交易市价，确定公允价值；</w:t>
      </w:r>
    </w:p>
    <w:p>
      <w:pPr>
        <w:pStyle w:val="66"/>
        <w:ind w:firstLine="480"/>
        <w:rPr>
          <w:b w:val="0"/>
          <w:sz w:val="24"/>
          <w:lang w:val="en-US"/>
        </w:rPr>
      </w:pPr>
      <w:r>
        <w:rPr>
          <w:rFonts w:hint="eastAsia"/>
          <w:b w:val="0"/>
          <w:sz w:val="24"/>
          <w:lang w:val="en-US"/>
        </w:rPr>
        <w:t>（4）本基金投资存托凭证的估值核算，依照境内上市交易的股票执行。</w:t>
      </w:r>
    </w:p>
    <w:p>
      <w:pPr>
        <w:pStyle w:val="66"/>
        <w:ind w:firstLine="480"/>
        <w:rPr>
          <w:b w:val="0"/>
          <w:sz w:val="24"/>
          <w:lang w:val="en-US"/>
        </w:rPr>
      </w:pPr>
      <w:r>
        <w:rPr>
          <w:rFonts w:hint="eastAsia"/>
          <w:b w:val="0"/>
          <w:sz w:val="24"/>
          <w:lang w:val="en-US"/>
        </w:rPr>
        <w:t>3、处于未上市期间的有价证券应区分如下情况处理：</w:t>
      </w:r>
    </w:p>
    <w:p>
      <w:pPr>
        <w:pStyle w:val="66"/>
        <w:ind w:firstLine="480"/>
        <w:rPr>
          <w:b w:val="0"/>
          <w:sz w:val="24"/>
          <w:lang w:val="en-US"/>
        </w:rPr>
      </w:pPr>
      <w:r>
        <w:rPr>
          <w:rFonts w:hint="eastAsia"/>
          <w:b w:val="0"/>
          <w:sz w:val="24"/>
          <w:lang w:val="en-US"/>
        </w:rPr>
        <w:t>（1）送股、转增股、配股和公开增发的股票，按估值日在证券交易所挂牌的同一股票的估值方法估值；该日无交易的，以最近一日的市价（收盘价）估值；</w:t>
      </w:r>
    </w:p>
    <w:p>
      <w:pPr>
        <w:pStyle w:val="66"/>
        <w:ind w:firstLine="480"/>
        <w:rPr>
          <w:b w:val="0"/>
          <w:sz w:val="24"/>
          <w:lang w:val="en-US"/>
        </w:rPr>
      </w:pPr>
      <w:r>
        <w:rPr>
          <w:rFonts w:hint="eastAsia"/>
          <w:b w:val="0"/>
          <w:sz w:val="24"/>
          <w:lang w:val="en-US"/>
        </w:rPr>
        <w:t>（2）首次公开发行未上市的股票，采用估值技术确定公允价值；</w:t>
      </w:r>
    </w:p>
    <w:p>
      <w:pPr>
        <w:pStyle w:val="66"/>
        <w:ind w:firstLine="480"/>
        <w:rPr>
          <w:b w:val="0"/>
          <w:sz w:val="24"/>
          <w:lang w:val="en-US"/>
        </w:rPr>
      </w:pPr>
      <w:r>
        <w:rPr>
          <w:rFonts w:hint="eastAsia"/>
          <w:b w:val="0"/>
          <w:sz w:val="24"/>
          <w:lang w:val="en-US"/>
        </w:rPr>
        <w:t>（3）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pStyle w:val="66"/>
        <w:ind w:firstLine="480"/>
        <w:rPr>
          <w:b w:val="0"/>
          <w:sz w:val="24"/>
          <w:lang w:val="en-US"/>
        </w:rPr>
      </w:pPr>
      <w:r>
        <w:rPr>
          <w:rFonts w:hint="eastAsia"/>
          <w:b w:val="0"/>
          <w:sz w:val="24"/>
          <w:lang w:val="en-US"/>
        </w:rPr>
        <w:t>（</w:t>
      </w:r>
      <w:r>
        <w:rPr>
          <w:b w:val="0"/>
          <w:sz w:val="24"/>
          <w:lang w:val="en-US"/>
        </w:rPr>
        <w:t>4</w:t>
      </w:r>
      <w:r>
        <w:rPr>
          <w:rFonts w:hint="eastAsia"/>
          <w:b w:val="0"/>
          <w:sz w:val="24"/>
          <w:lang w:val="en-US"/>
        </w:rPr>
        <w:t>）对于未上市或未挂牌转让且不存在活跃市场的固定收益品种，采用在当前情况下适用并且有足够可利用数据和其他信息支持的估值技术确定其公允价值。</w:t>
      </w:r>
    </w:p>
    <w:p>
      <w:pPr>
        <w:pStyle w:val="66"/>
        <w:ind w:firstLine="480"/>
        <w:rPr>
          <w:b w:val="0"/>
          <w:sz w:val="24"/>
          <w:lang w:val="en-US"/>
        </w:rPr>
      </w:pPr>
      <w:r>
        <w:rPr>
          <w:rFonts w:hint="eastAsia"/>
          <w:b w:val="0"/>
          <w:sz w:val="24"/>
          <w:lang w:val="en-US"/>
        </w:rPr>
        <w:t>4</w:t>
      </w:r>
      <w:r>
        <w:rPr>
          <w:b w:val="0"/>
          <w:sz w:val="24"/>
          <w:lang w:val="en-US"/>
        </w:rPr>
        <w:t>、对全国银行间市场已上市或已挂牌转让的不含权固定收益品种（法规另有规定的除外），选取第三方估值基准服务机构提供的相应品种当日的估值全价，基金管理人根据相关法律、法规的规定进行涉税处理(下同)。对于已上市或已挂牌转让的含权固定收益品种（法规另有规定的除外），选取第三方估值基准服务机构提供的相应品种当日的唯一估值全价或推荐估值全价。对于含投资者回售权的固定收益品种，行使回售权的，在回售登记日至实际收款日期间选取第三方估值基准服务机构提供的相应品种的唯一估值全价或推荐估值全价，同时充分考虑发行人的信用风险变化对公允价值的影响。回售登记期截止日（含当日）后未行使回售权的按照长待偿期所对应的价格进行估值。如最近交易日后经济环境发生了重大变化的，可参考类似投资品种的现行市价及重大变化因素，调整最近交易市价，确定公允价值。</w:t>
      </w:r>
    </w:p>
    <w:p>
      <w:pPr>
        <w:pStyle w:val="66"/>
        <w:ind w:firstLine="480"/>
        <w:rPr>
          <w:b w:val="0"/>
          <w:sz w:val="24"/>
          <w:lang w:val="en-US"/>
        </w:rPr>
      </w:pPr>
      <w:r>
        <w:rPr>
          <w:rFonts w:hint="eastAsia"/>
          <w:b w:val="0"/>
          <w:sz w:val="24"/>
          <w:lang w:val="en-US"/>
        </w:rPr>
        <w:t>5、同一证券同时在两个或两个以上市场交易的，按其所处的市场分别估值。</w:t>
      </w:r>
    </w:p>
    <w:p>
      <w:pPr>
        <w:pStyle w:val="66"/>
        <w:ind w:firstLine="480"/>
        <w:rPr>
          <w:b w:val="0"/>
          <w:sz w:val="24"/>
          <w:lang w:val="en-US"/>
        </w:rPr>
      </w:pPr>
      <w:r>
        <w:rPr>
          <w:rFonts w:hint="eastAsia"/>
          <w:b w:val="0"/>
          <w:sz w:val="24"/>
          <w:lang w:val="en-US"/>
        </w:rPr>
        <w:t>6、本基金持有的回购以摊余成本列示，按合同利率在回购期间内逐日计提应收或应付利息。</w:t>
      </w:r>
    </w:p>
    <w:p>
      <w:pPr>
        <w:pStyle w:val="66"/>
        <w:ind w:firstLine="480"/>
        <w:rPr>
          <w:b w:val="0"/>
          <w:sz w:val="24"/>
          <w:lang w:val="en-US"/>
        </w:rPr>
      </w:pPr>
      <w:r>
        <w:rPr>
          <w:rFonts w:hint="eastAsia"/>
          <w:b w:val="0"/>
          <w:sz w:val="24"/>
          <w:lang w:val="en-US"/>
        </w:rPr>
        <w:t>7、本基金持有的银行存款和备付金余额以摊余成本列示，按相应利率逐日计提利息。</w:t>
      </w:r>
    </w:p>
    <w:p>
      <w:pPr>
        <w:pStyle w:val="66"/>
        <w:ind w:firstLine="480"/>
        <w:rPr>
          <w:b w:val="0"/>
          <w:sz w:val="24"/>
          <w:lang w:val="en-US"/>
        </w:rPr>
      </w:pPr>
      <w:r>
        <w:rPr>
          <w:rFonts w:hint="eastAsia"/>
          <w:b w:val="0"/>
          <w:sz w:val="24"/>
          <w:lang w:val="en-US"/>
        </w:rPr>
        <w:t>8、本基金投资股指期货合约，一般以估值当日结算价进行估值，估值当日无结算价，且最近交易日后经济环境未发生重大变化的，采用最近交易日结算价估值。</w:t>
      </w:r>
    </w:p>
    <w:p>
      <w:pPr>
        <w:pStyle w:val="66"/>
        <w:ind w:firstLine="480"/>
        <w:rPr>
          <w:b w:val="0"/>
          <w:sz w:val="24"/>
          <w:lang w:val="en-US"/>
        </w:rPr>
      </w:pPr>
      <w:r>
        <w:rPr>
          <w:rFonts w:hint="eastAsia"/>
          <w:b w:val="0"/>
          <w:sz w:val="24"/>
          <w:lang w:val="en-US"/>
        </w:rPr>
        <w:t>9、本基金投资股票期权合约，一般以估值当日结算价进行估值，估值当日无结算价，且最近交易日后经济环境未发生重大变化的，采用最近交易日结算价估值。</w:t>
      </w:r>
    </w:p>
    <w:p>
      <w:pPr>
        <w:pStyle w:val="66"/>
        <w:ind w:firstLine="480"/>
        <w:rPr>
          <w:b w:val="0"/>
          <w:sz w:val="24"/>
          <w:lang w:val="en-US"/>
        </w:rPr>
      </w:pPr>
      <w:r>
        <w:rPr>
          <w:rFonts w:hint="eastAsia"/>
          <w:b w:val="0"/>
          <w:sz w:val="24"/>
          <w:lang w:val="en-US"/>
        </w:rPr>
        <w:t>10、本基金参与融资和转融通证券出借业务的，按照相关法律法规和行业协会的相关规定进行估值。</w:t>
      </w:r>
    </w:p>
    <w:p>
      <w:pPr>
        <w:pStyle w:val="66"/>
        <w:ind w:firstLine="480"/>
        <w:rPr>
          <w:b w:val="0"/>
          <w:sz w:val="24"/>
          <w:lang w:val="en-US"/>
        </w:rPr>
      </w:pPr>
      <w:r>
        <w:rPr>
          <w:rFonts w:hint="eastAsia"/>
          <w:b w:val="0"/>
          <w:sz w:val="24"/>
          <w:lang w:val="en-US"/>
        </w:rPr>
        <w:t>11、如有确凿证据表明按上述方法进行估值不能客观反映其公允价值的，基金管理人可根据具体情况与基金托管人商定后，按最能反映公允价值的价格估值。</w:t>
      </w:r>
    </w:p>
    <w:p>
      <w:pPr>
        <w:pStyle w:val="66"/>
        <w:ind w:firstLine="480"/>
        <w:rPr>
          <w:b w:val="0"/>
          <w:sz w:val="24"/>
          <w:lang w:val="en-US"/>
        </w:rPr>
      </w:pPr>
      <w:r>
        <w:rPr>
          <w:rFonts w:hint="eastAsia"/>
          <w:b w:val="0"/>
          <w:sz w:val="24"/>
          <w:lang w:val="en-US"/>
        </w:rPr>
        <w:t>12、当本基金发生大额申购或赎回情形时，基金管理人可以采用摆动定价机制，以确保基金估值的公平性。</w:t>
      </w:r>
    </w:p>
    <w:p>
      <w:pPr>
        <w:pStyle w:val="66"/>
        <w:ind w:firstLine="480"/>
        <w:rPr>
          <w:b w:val="0"/>
          <w:sz w:val="24"/>
          <w:lang w:val="en-US"/>
        </w:rPr>
      </w:pPr>
      <w:r>
        <w:rPr>
          <w:rFonts w:hint="eastAsia"/>
          <w:b w:val="0"/>
          <w:sz w:val="24"/>
          <w:lang w:val="en-US"/>
        </w:rPr>
        <w:t>13、相关法律法规以及监管部门有强制规定的，从其规定。如有新增事项，按国家最新规定估值。</w:t>
      </w:r>
    </w:p>
    <w:p>
      <w:pPr>
        <w:pStyle w:val="66"/>
        <w:ind w:firstLine="480"/>
        <w:rPr>
          <w:b w:val="0"/>
          <w:sz w:val="24"/>
          <w:lang w:val="en-US"/>
        </w:rPr>
      </w:pPr>
      <w:r>
        <w:rPr>
          <w:rFonts w:hint="eastAsia"/>
          <w:b w:val="0"/>
          <w:sz w:val="24"/>
          <w:lang w:val="en-US"/>
        </w:rPr>
        <w:t>如基金管理人或基金托管人发现基金估值违反基金合同订明的估值方法、程序及相关法律法规的规定或者未能充分维护基金份额持有人利益时，应立即通知对方，共同查明原因，双方协商解决，以约定的方法、程序和相关法律法规的规定进行估值，以维护基金份额持有人的利益。</w:t>
      </w:r>
    </w:p>
    <w:p>
      <w:pPr>
        <w:pStyle w:val="66"/>
        <w:ind w:firstLine="480"/>
        <w:rPr>
          <w:b w:val="0"/>
          <w:sz w:val="24"/>
          <w:lang w:val="en-US"/>
        </w:rPr>
      </w:pPr>
      <w:r>
        <w:rPr>
          <w:rFonts w:hint="eastAsia"/>
          <w:b w:val="0"/>
          <w:sz w:val="24"/>
          <w:lang w:val="en-US"/>
        </w:rPr>
        <w:t>根据有关法律法规，各类基金资产净值计算、各类基金份额净值计算和基金会计核算的义务由基金管理人承担。本基金的基金会计责任方由基金管理人担任，因此，就与本基金有关的会计问题，如经相关各方在平等基础上充分讨论后，仍无法达成一致意见的，按照基金管理人对各类基金净值信息的计算结果按规定对外予以公布</w:t>
      </w:r>
      <w:r>
        <w:rPr>
          <w:b w:val="0"/>
          <w:sz w:val="24"/>
          <w:lang w:val="en-US"/>
        </w:rPr>
        <w:t>。</w:t>
      </w:r>
    </w:p>
    <w:p>
      <w:pPr>
        <w:pStyle w:val="66"/>
        <w:ind w:firstLine="480"/>
        <w:rPr>
          <w:b w:val="0"/>
          <w:sz w:val="24"/>
          <w:lang w:val="en-US"/>
        </w:rPr>
      </w:pPr>
      <w:r>
        <w:rPr>
          <w:rFonts w:hint="eastAsia"/>
          <w:b w:val="0"/>
          <w:sz w:val="24"/>
          <w:lang w:val="en-US"/>
        </w:rPr>
        <w:t>六、基金份额持有人名册的保管</w:t>
      </w:r>
    </w:p>
    <w:p>
      <w:pPr>
        <w:pStyle w:val="66"/>
        <w:ind w:firstLine="480"/>
        <w:rPr>
          <w:b w:val="0"/>
          <w:sz w:val="24"/>
          <w:lang w:val="en-US"/>
        </w:rPr>
      </w:pPr>
      <w:r>
        <w:rPr>
          <w:rFonts w:hint="eastAsia"/>
          <w:b w:val="0"/>
          <w:sz w:val="24"/>
          <w:lang w:val="en-US"/>
        </w:rPr>
        <w:t>基金份额持有人名册至少应包括基金份额持有人的名称和持有的基金份额。基金份额持有人名册由基金登记机构根据基金管理人的指令编制和保管，基金管理人和基金托管人应分别保管基金份额持有人名册，基金登记机构保存期不低于法律法规规定的最低期限。如不能妥善保管，则按相关法规承担责任。</w:t>
      </w:r>
    </w:p>
    <w:p>
      <w:pPr>
        <w:pStyle w:val="66"/>
        <w:ind w:firstLine="480"/>
        <w:rPr>
          <w:b w:val="0"/>
          <w:sz w:val="24"/>
          <w:lang w:val="en-US"/>
        </w:rPr>
      </w:pPr>
      <w:r>
        <w:rPr>
          <w:rFonts w:hint="eastAsia"/>
          <w:b w:val="0"/>
          <w:sz w:val="24"/>
          <w:lang w:val="en-US"/>
        </w:rPr>
        <w:t>在基金托管人要求或编制中期报告和年度报告前，基金管理人应将有关资料送交基金托管人，不得无故拒绝或延误提供，并保证其真实性、准确性和完整性。基金托管人不得将所保管的基金份额持有人名册用于基金托管业务以外的其他用途，并应遵守保密义务。</w:t>
      </w:r>
    </w:p>
    <w:p>
      <w:pPr>
        <w:pStyle w:val="66"/>
        <w:ind w:firstLine="480"/>
        <w:rPr>
          <w:b w:val="0"/>
          <w:sz w:val="24"/>
          <w:lang w:val="en-US"/>
        </w:rPr>
      </w:pPr>
      <w:r>
        <w:rPr>
          <w:rFonts w:hint="eastAsia"/>
          <w:b w:val="0"/>
          <w:sz w:val="24"/>
          <w:lang w:val="en-US"/>
        </w:rPr>
        <w:t>七、争议解决方式</w:t>
      </w:r>
    </w:p>
    <w:p>
      <w:pPr>
        <w:pStyle w:val="66"/>
        <w:ind w:firstLine="480"/>
        <w:rPr>
          <w:b w:val="0"/>
          <w:sz w:val="24"/>
          <w:lang w:val="en-US"/>
        </w:rPr>
      </w:pPr>
      <w:r>
        <w:rPr>
          <w:b w:val="0"/>
          <w:sz w:val="24"/>
          <w:lang w:val="en-US"/>
        </w:rPr>
        <w:t>双方当事人同意，因本托管协议而产生的或与本托管协议有关的一切争议，应通过友好协商或者调解解决。托管协议当事人不愿通过协商、调解解决或者协商、调解不成的，</w:t>
      </w:r>
      <w:r>
        <w:rPr>
          <w:rFonts w:hint="eastAsia"/>
          <w:b w:val="0"/>
          <w:sz w:val="24"/>
          <w:lang w:val="en-US"/>
        </w:rPr>
        <w:t>应</w:t>
      </w:r>
      <w:r>
        <w:rPr>
          <w:b w:val="0"/>
          <w:sz w:val="24"/>
          <w:lang w:val="en-US"/>
        </w:rPr>
        <w:t>将争议提交上海国际经济贸易仲裁委员会，根据该会当时有效的仲裁规则进行仲裁，仲裁的地点在上海市，仲裁裁决是终局的，并对</w:t>
      </w:r>
      <w:r>
        <w:rPr>
          <w:rFonts w:hint="eastAsia"/>
          <w:b w:val="0"/>
          <w:sz w:val="24"/>
          <w:lang w:val="en-US"/>
        </w:rPr>
        <w:t>相关各</w:t>
      </w:r>
      <w:r>
        <w:rPr>
          <w:b w:val="0"/>
          <w:sz w:val="24"/>
          <w:lang w:val="en-US"/>
        </w:rPr>
        <w:t>方当事人均有约束力。除非仲裁裁决另有决定，仲裁费、律师费由败诉方承担。</w:t>
      </w:r>
    </w:p>
    <w:p>
      <w:pPr>
        <w:pStyle w:val="66"/>
        <w:ind w:firstLine="480"/>
        <w:rPr>
          <w:b w:val="0"/>
          <w:sz w:val="24"/>
          <w:lang w:val="en-US"/>
        </w:rPr>
      </w:pPr>
      <w:r>
        <w:rPr>
          <w:b w:val="0"/>
          <w:sz w:val="24"/>
          <w:lang w:val="en-US"/>
        </w:rPr>
        <w:t>争议处理期间，双方当事人应恪守基金管理人和基金托管人职责，继续忠实、勤勉、尽责地履行《基金合同》和本托管协议规定的义务，维护基金份额持有人的合法权益。</w:t>
      </w:r>
    </w:p>
    <w:p>
      <w:pPr>
        <w:pStyle w:val="66"/>
        <w:ind w:firstLine="480"/>
        <w:rPr>
          <w:b w:val="0"/>
          <w:sz w:val="24"/>
          <w:lang w:val="en-US"/>
        </w:rPr>
      </w:pPr>
      <w:r>
        <w:rPr>
          <w:b w:val="0"/>
          <w:sz w:val="24"/>
          <w:lang w:val="en-US"/>
        </w:rPr>
        <w:t>本托管协议受中华人民共和国法律（为本托管协议之目的，在此不包括香港特别行政区、澳门特别行政区和台湾地区法律）管辖</w:t>
      </w:r>
      <w:r>
        <w:rPr>
          <w:rFonts w:hint="eastAsia"/>
          <w:b w:val="0"/>
          <w:sz w:val="24"/>
          <w:lang w:val="en-US"/>
        </w:rPr>
        <w:t>，并按其解释</w:t>
      </w:r>
      <w:r>
        <w:rPr>
          <w:b w:val="0"/>
          <w:sz w:val="24"/>
          <w:lang w:val="en-US"/>
        </w:rPr>
        <w:t>。</w:t>
      </w:r>
    </w:p>
    <w:p>
      <w:pPr>
        <w:pStyle w:val="66"/>
        <w:ind w:firstLine="480"/>
        <w:rPr>
          <w:b w:val="0"/>
          <w:sz w:val="24"/>
          <w:lang w:val="en-US"/>
        </w:rPr>
      </w:pPr>
      <w:r>
        <w:rPr>
          <w:rFonts w:hint="eastAsia"/>
          <w:b w:val="0"/>
          <w:sz w:val="24"/>
          <w:lang w:val="en-US"/>
        </w:rPr>
        <w:t>八、基金托管协议的变更、终止与基金财产的清算</w:t>
      </w:r>
    </w:p>
    <w:p>
      <w:pPr>
        <w:pStyle w:val="66"/>
        <w:ind w:firstLine="480"/>
        <w:rPr>
          <w:b w:val="0"/>
          <w:sz w:val="24"/>
          <w:lang w:val="en-US"/>
        </w:rPr>
      </w:pPr>
      <w:r>
        <w:rPr>
          <w:rFonts w:hint="eastAsia"/>
          <w:b w:val="0"/>
          <w:sz w:val="24"/>
          <w:lang w:val="en-US"/>
        </w:rPr>
        <w:t>（一）基金托管协议的变更</w:t>
      </w:r>
    </w:p>
    <w:p>
      <w:pPr>
        <w:pStyle w:val="66"/>
        <w:ind w:firstLine="480"/>
        <w:rPr>
          <w:b w:val="0"/>
          <w:sz w:val="24"/>
          <w:lang w:val="en-US"/>
        </w:rPr>
      </w:pPr>
      <w:r>
        <w:rPr>
          <w:b w:val="0"/>
          <w:sz w:val="24"/>
          <w:lang w:val="en-US"/>
        </w:rPr>
        <w:t>本托管协议双方当事人经协商一致，可以对协议进行修改。修改后的新协议，其内容不得与《基金合同》的规定有任何冲突。</w:t>
      </w:r>
    </w:p>
    <w:p>
      <w:pPr>
        <w:pStyle w:val="66"/>
        <w:ind w:firstLine="480"/>
        <w:rPr>
          <w:b w:val="0"/>
          <w:sz w:val="24"/>
          <w:lang w:val="en-US"/>
        </w:rPr>
      </w:pPr>
      <w:r>
        <w:rPr>
          <w:rFonts w:hint="eastAsia"/>
          <w:b w:val="0"/>
          <w:sz w:val="24"/>
          <w:lang w:val="en-US"/>
        </w:rPr>
        <w:t>（二）基金托管协议的终止</w:t>
      </w:r>
    </w:p>
    <w:p>
      <w:pPr>
        <w:pStyle w:val="66"/>
        <w:ind w:firstLine="480"/>
        <w:rPr>
          <w:b w:val="0"/>
          <w:sz w:val="24"/>
          <w:lang w:val="en-US"/>
        </w:rPr>
      </w:pPr>
      <w:r>
        <w:rPr>
          <w:rFonts w:hint="eastAsia"/>
          <w:b w:val="0"/>
          <w:sz w:val="24"/>
          <w:lang w:val="en-US"/>
        </w:rPr>
        <w:t>1</w:t>
      </w:r>
      <w:r>
        <w:rPr>
          <w:b w:val="0"/>
          <w:sz w:val="24"/>
          <w:lang w:val="en-US"/>
        </w:rPr>
        <w:t>.</w:t>
      </w:r>
      <w:r>
        <w:rPr>
          <w:rFonts w:hint="eastAsia"/>
          <w:b w:val="0"/>
          <w:sz w:val="24"/>
          <w:lang w:val="en-US"/>
        </w:rPr>
        <w:t>《基金合同》终止；</w:t>
      </w:r>
    </w:p>
    <w:p>
      <w:pPr>
        <w:pStyle w:val="66"/>
        <w:ind w:firstLine="480"/>
        <w:rPr>
          <w:b w:val="0"/>
          <w:sz w:val="24"/>
          <w:lang w:val="en-US"/>
        </w:rPr>
      </w:pPr>
      <w:r>
        <w:rPr>
          <w:b w:val="0"/>
          <w:sz w:val="24"/>
          <w:lang w:val="en-US"/>
        </w:rPr>
        <w:t>2.</w:t>
      </w:r>
      <w:r>
        <w:rPr>
          <w:rFonts w:hint="eastAsia"/>
          <w:b w:val="0"/>
          <w:sz w:val="24"/>
          <w:lang w:val="en-US"/>
        </w:rPr>
        <w:t>基金托管人解散、依法被撤销、破产，被依法取消基金托管资格或因其他事由造成其他基金托管人接管基金财产；</w:t>
      </w:r>
    </w:p>
    <w:p>
      <w:pPr>
        <w:pStyle w:val="66"/>
        <w:ind w:firstLine="480"/>
        <w:rPr>
          <w:b w:val="0"/>
          <w:sz w:val="24"/>
          <w:lang w:val="en-US"/>
        </w:rPr>
      </w:pPr>
      <w:r>
        <w:rPr>
          <w:b w:val="0"/>
          <w:sz w:val="24"/>
          <w:lang w:val="en-US"/>
        </w:rPr>
        <w:t>3.</w:t>
      </w:r>
      <w:r>
        <w:rPr>
          <w:rFonts w:hint="eastAsia"/>
          <w:b w:val="0"/>
          <w:sz w:val="24"/>
          <w:lang w:val="en-US"/>
        </w:rPr>
        <w:t>基金管理人解散、依法被撤销、破产，被依法取消基金管理资格或因其他事由造成其他基金管理人接管基金管理权；</w:t>
      </w:r>
    </w:p>
    <w:p>
      <w:pPr>
        <w:pStyle w:val="66"/>
        <w:ind w:firstLine="480"/>
        <w:rPr>
          <w:b w:val="0"/>
          <w:sz w:val="24"/>
          <w:lang w:val="en-US"/>
        </w:rPr>
      </w:pPr>
      <w:r>
        <w:rPr>
          <w:b w:val="0"/>
          <w:sz w:val="24"/>
          <w:lang w:val="en-US"/>
        </w:rPr>
        <w:t>4.</w:t>
      </w:r>
      <w:r>
        <w:rPr>
          <w:rFonts w:hint="eastAsia"/>
          <w:b w:val="0"/>
          <w:sz w:val="24"/>
          <w:lang w:val="en-US"/>
        </w:rPr>
        <w:t>发生《基金法》、《销售办法》、《运作办法》或其他法律法规规定的终止事项。</w:t>
      </w:r>
    </w:p>
    <w:p>
      <w:pPr>
        <w:pStyle w:val="66"/>
        <w:ind w:firstLine="480"/>
        <w:rPr>
          <w:b w:val="0"/>
          <w:sz w:val="24"/>
          <w:lang w:val="en-US"/>
        </w:rPr>
      </w:pPr>
      <w:r>
        <w:rPr>
          <w:rFonts w:hint="eastAsia"/>
          <w:b w:val="0"/>
          <w:sz w:val="24"/>
          <w:lang w:val="en-US"/>
        </w:rPr>
        <w:t>（三）基金财产的清算</w:t>
      </w:r>
    </w:p>
    <w:p>
      <w:pPr>
        <w:pStyle w:val="66"/>
        <w:ind w:firstLine="480"/>
        <w:rPr>
          <w:b w:val="0"/>
          <w:sz w:val="24"/>
          <w:lang w:val="en-US"/>
        </w:rPr>
      </w:pPr>
      <w:r>
        <w:rPr>
          <w:b w:val="0"/>
          <w:sz w:val="24"/>
          <w:lang w:val="en-US"/>
        </w:rPr>
        <w:t>1.</w:t>
      </w:r>
      <w:r>
        <w:rPr>
          <w:rFonts w:hint="eastAsia"/>
          <w:b w:val="0"/>
          <w:sz w:val="24"/>
          <w:lang w:val="en-US"/>
        </w:rPr>
        <w:t>基金财产清算小组：《基金合同》终止事由出现后，基金管理人组织基金财产清算小组并在中国证监会的监督下进行基金清算。</w:t>
      </w:r>
    </w:p>
    <w:p>
      <w:pPr>
        <w:pStyle w:val="66"/>
        <w:ind w:firstLine="480"/>
        <w:rPr>
          <w:b w:val="0"/>
          <w:sz w:val="24"/>
          <w:lang w:val="en-US"/>
        </w:rPr>
      </w:pPr>
      <w:r>
        <w:rPr>
          <w:rFonts w:hint="eastAsia"/>
          <w:b w:val="0"/>
          <w:sz w:val="24"/>
          <w:lang w:val="en-US"/>
        </w:rPr>
        <w:t>2</w:t>
      </w:r>
      <w:r>
        <w:rPr>
          <w:b w:val="0"/>
          <w:sz w:val="24"/>
          <w:lang w:val="en-US"/>
        </w:rPr>
        <w:t>.</w:t>
      </w:r>
      <w:r>
        <w:rPr>
          <w:rFonts w:hint="eastAsia"/>
          <w:b w:val="0"/>
          <w:sz w:val="24"/>
          <w:lang w:val="en-US"/>
        </w:rPr>
        <w:t>基金财产清算小组组成：基金财产清算小组成员由基金管理人、基金托管人、符合《中华人民共和国证券法》规定的注册会计师、律师以及中国证监会指定的人员组成。基金财产清算小组可以聘用必要的工作人员。</w:t>
      </w:r>
    </w:p>
    <w:p>
      <w:pPr>
        <w:pStyle w:val="66"/>
        <w:ind w:firstLine="480"/>
        <w:rPr>
          <w:b w:val="0"/>
          <w:sz w:val="24"/>
          <w:lang w:val="en-US"/>
        </w:rPr>
      </w:pPr>
      <w:r>
        <w:rPr>
          <w:rFonts w:hint="eastAsia"/>
          <w:b w:val="0"/>
          <w:sz w:val="24"/>
          <w:lang w:val="en-US"/>
        </w:rPr>
        <w:t>3</w:t>
      </w:r>
      <w:r>
        <w:rPr>
          <w:b w:val="0"/>
          <w:sz w:val="24"/>
          <w:lang w:val="en-US"/>
        </w:rPr>
        <w:t>.</w:t>
      </w:r>
      <w:r>
        <w:rPr>
          <w:rFonts w:hint="eastAsia"/>
          <w:b w:val="0"/>
          <w:sz w:val="24"/>
          <w:lang w:val="en-US"/>
        </w:rPr>
        <w:t>基金财产清算小组职责：基金财产清算小组负责基金财产的保管、清理、估价、变现和分配。基金财产清算小组可以依法进行必要的民事活动。</w:t>
      </w:r>
    </w:p>
    <w:p>
      <w:pPr>
        <w:pStyle w:val="66"/>
        <w:ind w:firstLine="480"/>
        <w:rPr>
          <w:b w:val="0"/>
          <w:sz w:val="24"/>
          <w:lang w:val="en-US"/>
        </w:rPr>
      </w:pPr>
      <w:r>
        <w:rPr>
          <w:rFonts w:hint="eastAsia"/>
          <w:b w:val="0"/>
          <w:sz w:val="24"/>
          <w:lang w:val="en-US"/>
        </w:rPr>
        <w:t>4</w:t>
      </w:r>
      <w:r>
        <w:rPr>
          <w:b w:val="0"/>
          <w:sz w:val="24"/>
          <w:lang w:val="en-US"/>
        </w:rPr>
        <w:t>.</w:t>
      </w:r>
      <w:r>
        <w:rPr>
          <w:rFonts w:hint="eastAsia"/>
          <w:b w:val="0"/>
          <w:sz w:val="24"/>
          <w:lang w:val="en-US"/>
        </w:rPr>
        <w:t>基金财产清算程序：</w:t>
      </w:r>
      <w:r>
        <w:rPr>
          <w:rFonts w:hint="eastAsia"/>
          <w:b w:val="0"/>
          <w:sz w:val="24"/>
          <w:lang w:val="en-US"/>
        </w:rPr>
        <w:tab/>
      </w:r>
    </w:p>
    <w:p>
      <w:pPr>
        <w:pStyle w:val="66"/>
        <w:ind w:firstLine="420" w:firstLineChars="175"/>
        <w:rPr>
          <w:b w:val="0"/>
          <w:sz w:val="24"/>
          <w:lang w:val="en-US"/>
        </w:rPr>
      </w:pPr>
      <w:r>
        <w:rPr>
          <w:rFonts w:hint="eastAsia"/>
          <w:b w:val="0"/>
          <w:sz w:val="24"/>
          <w:lang w:val="en-US"/>
        </w:rPr>
        <w:t>（1）《基金合同》终止情形出现时，由基金财产清算小组统一接管基金；</w:t>
      </w:r>
    </w:p>
    <w:p>
      <w:pPr>
        <w:pStyle w:val="66"/>
        <w:ind w:firstLine="420" w:firstLineChars="175"/>
        <w:rPr>
          <w:b w:val="0"/>
          <w:sz w:val="24"/>
          <w:lang w:val="en-US"/>
        </w:rPr>
      </w:pPr>
      <w:r>
        <w:rPr>
          <w:rFonts w:hint="eastAsia"/>
          <w:b w:val="0"/>
          <w:sz w:val="24"/>
          <w:lang w:val="en-US"/>
        </w:rPr>
        <w:t>（2）对基金财产和债权债务进行清理和确认；</w:t>
      </w:r>
    </w:p>
    <w:p>
      <w:pPr>
        <w:pStyle w:val="66"/>
        <w:ind w:firstLine="420" w:firstLineChars="175"/>
        <w:rPr>
          <w:b w:val="0"/>
          <w:sz w:val="24"/>
          <w:lang w:val="en-US"/>
        </w:rPr>
      </w:pPr>
      <w:r>
        <w:rPr>
          <w:rFonts w:hint="eastAsia"/>
          <w:b w:val="0"/>
          <w:sz w:val="24"/>
          <w:lang w:val="en-US"/>
        </w:rPr>
        <w:t>（3）对基金财产进行估值和变现；</w:t>
      </w:r>
    </w:p>
    <w:p>
      <w:pPr>
        <w:pStyle w:val="66"/>
        <w:ind w:firstLine="420" w:firstLineChars="175"/>
        <w:rPr>
          <w:b w:val="0"/>
          <w:sz w:val="24"/>
          <w:lang w:val="en-US"/>
        </w:rPr>
      </w:pPr>
      <w:r>
        <w:rPr>
          <w:rFonts w:hint="eastAsia"/>
          <w:b w:val="0"/>
          <w:sz w:val="24"/>
          <w:lang w:val="en-US"/>
        </w:rPr>
        <w:t>（4）制作清算报告；</w:t>
      </w:r>
    </w:p>
    <w:p>
      <w:pPr>
        <w:pStyle w:val="66"/>
        <w:ind w:left="360" w:firstLine="0" w:firstLineChars="0"/>
        <w:rPr>
          <w:b w:val="0"/>
          <w:sz w:val="24"/>
          <w:lang w:val="en-US"/>
        </w:rPr>
      </w:pPr>
      <w:r>
        <w:rPr>
          <w:rFonts w:hint="eastAsia"/>
          <w:b w:val="0"/>
          <w:sz w:val="24"/>
          <w:lang w:val="en-US"/>
        </w:rPr>
        <w:t>（5）聘请会计师事务所对清算报告进行外部审计，聘请律师事务所对清算报告出具法律意见书；</w:t>
      </w:r>
    </w:p>
    <w:p>
      <w:pPr>
        <w:pStyle w:val="66"/>
        <w:ind w:firstLine="420" w:firstLineChars="175"/>
        <w:rPr>
          <w:b w:val="0"/>
          <w:sz w:val="24"/>
          <w:lang w:val="en-US"/>
        </w:rPr>
      </w:pPr>
      <w:r>
        <w:rPr>
          <w:rFonts w:hint="eastAsia"/>
          <w:b w:val="0"/>
          <w:sz w:val="24"/>
          <w:lang w:val="en-US"/>
        </w:rPr>
        <w:t>（6）将清算报告报中国证监会备案并公告；</w:t>
      </w:r>
    </w:p>
    <w:p>
      <w:pPr>
        <w:pStyle w:val="66"/>
        <w:ind w:firstLine="420" w:firstLineChars="175"/>
        <w:rPr>
          <w:b w:val="0"/>
          <w:sz w:val="24"/>
          <w:lang w:val="en-US"/>
        </w:rPr>
      </w:pPr>
      <w:r>
        <w:rPr>
          <w:rFonts w:hint="eastAsia"/>
          <w:b w:val="0"/>
          <w:sz w:val="24"/>
          <w:lang w:val="en-US"/>
        </w:rPr>
        <w:t>（7）对基金剩余财产进行分配。</w:t>
      </w:r>
    </w:p>
    <w:p>
      <w:pPr>
        <w:pStyle w:val="66"/>
        <w:ind w:firstLine="480"/>
        <w:rPr>
          <w:b w:val="0"/>
          <w:sz w:val="24"/>
          <w:lang w:val="en-US"/>
        </w:rPr>
      </w:pPr>
      <w:r>
        <w:rPr>
          <w:rFonts w:hint="eastAsia"/>
          <w:b w:val="0"/>
          <w:sz w:val="24"/>
          <w:lang w:val="en-US"/>
        </w:rPr>
        <w:t>5</w:t>
      </w:r>
      <w:r>
        <w:rPr>
          <w:b w:val="0"/>
          <w:sz w:val="24"/>
          <w:lang w:val="en-US"/>
        </w:rPr>
        <w:t>.</w:t>
      </w:r>
      <w:r>
        <w:rPr>
          <w:rFonts w:hint="eastAsia"/>
          <w:b w:val="0"/>
          <w:sz w:val="24"/>
          <w:lang w:val="en-US"/>
        </w:rPr>
        <w:t>基金财产清算的期限为6个月，但因本基金所持证券的流动性受到限制而不能及时变现的，清算期限相应顺延。</w:t>
      </w:r>
    </w:p>
    <w:p>
      <w:pPr>
        <w:pStyle w:val="66"/>
        <w:ind w:firstLine="480"/>
        <w:rPr>
          <w:b w:val="0"/>
          <w:sz w:val="24"/>
          <w:lang w:val="en-US"/>
        </w:rPr>
      </w:pPr>
      <w:r>
        <w:rPr>
          <w:rFonts w:hint="eastAsia"/>
          <w:b w:val="0"/>
          <w:sz w:val="24"/>
          <w:lang w:val="en-US"/>
        </w:rPr>
        <w:t>6</w:t>
      </w:r>
      <w:r>
        <w:rPr>
          <w:b w:val="0"/>
          <w:sz w:val="24"/>
          <w:lang w:val="en-US"/>
        </w:rPr>
        <w:t>.</w:t>
      </w:r>
      <w:r>
        <w:rPr>
          <w:rFonts w:hint="eastAsia"/>
          <w:b w:val="0"/>
          <w:sz w:val="24"/>
          <w:lang w:val="en-US"/>
        </w:rPr>
        <w:t>清算费用</w:t>
      </w:r>
    </w:p>
    <w:p>
      <w:pPr>
        <w:pStyle w:val="66"/>
        <w:ind w:firstLine="480"/>
        <w:rPr>
          <w:b w:val="0"/>
          <w:sz w:val="24"/>
          <w:lang w:val="en-US"/>
        </w:rPr>
      </w:pPr>
      <w:r>
        <w:rPr>
          <w:rFonts w:hint="eastAsia"/>
          <w:b w:val="0"/>
          <w:sz w:val="24"/>
          <w:lang w:val="en-US"/>
        </w:rPr>
        <w:t>清算费用是指基金财产清算小组在进行基金清算过程中发生的所有合理费用，清算费用由基金财产清算小组优先从基金剩余财产中支付。</w:t>
      </w:r>
    </w:p>
    <w:p>
      <w:pPr>
        <w:pStyle w:val="66"/>
        <w:ind w:firstLine="480"/>
        <w:rPr>
          <w:b w:val="0"/>
          <w:sz w:val="24"/>
          <w:lang w:val="en-US"/>
        </w:rPr>
      </w:pPr>
      <w:r>
        <w:rPr>
          <w:rFonts w:hint="eastAsia"/>
          <w:b w:val="0"/>
          <w:sz w:val="24"/>
          <w:lang w:val="en-US"/>
        </w:rPr>
        <w:t>7</w:t>
      </w:r>
      <w:r>
        <w:rPr>
          <w:b w:val="0"/>
          <w:sz w:val="24"/>
          <w:lang w:val="en-US"/>
        </w:rPr>
        <w:t>.</w:t>
      </w:r>
      <w:r>
        <w:rPr>
          <w:rFonts w:hint="eastAsia"/>
          <w:b w:val="0"/>
          <w:sz w:val="24"/>
          <w:lang w:val="en-US"/>
        </w:rPr>
        <w:t>基金财产清算剩余资产的分配</w:t>
      </w:r>
    </w:p>
    <w:p>
      <w:pPr>
        <w:pStyle w:val="66"/>
        <w:ind w:firstLine="480"/>
        <w:rPr>
          <w:b w:val="0"/>
          <w:sz w:val="24"/>
          <w:lang w:val="en-US"/>
        </w:rPr>
      </w:pPr>
      <w:r>
        <w:rPr>
          <w:rFonts w:hint="eastAsia"/>
          <w:b w:val="0"/>
          <w:sz w:val="24"/>
          <w:lang w:val="en-US"/>
        </w:rPr>
        <w:t>依据基金财产清算的分配方案，将基金财产清算后的全部剩余资产扣除基金财产清算费用、交纳所欠税款并清偿基金债务后，按基金份额持有人持有的各类基金份额比例进行分配。</w:t>
      </w:r>
    </w:p>
    <w:p>
      <w:pPr>
        <w:pStyle w:val="66"/>
        <w:ind w:firstLine="480"/>
        <w:rPr>
          <w:b w:val="0"/>
          <w:sz w:val="24"/>
          <w:lang w:val="en-US"/>
        </w:rPr>
      </w:pPr>
      <w:r>
        <w:rPr>
          <w:b w:val="0"/>
          <w:sz w:val="24"/>
          <w:lang w:val="en-US"/>
        </w:rPr>
        <w:t>8.</w:t>
      </w:r>
      <w:r>
        <w:rPr>
          <w:rFonts w:hint="eastAsia"/>
          <w:b w:val="0"/>
          <w:sz w:val="24"/>
          <w:lang w:val="en-US"/>
        </w:rPr>
        <w:t>基金财产清算的公告</w:t>
      </w:r>
    </w:p>
    <w:p>
      <w:pPr>
        <w:pStyle w:val="66"/>
        <w:ind w:firstLine="480"/>
        <w:rPr>
          <w:b w:val="0"/>
          <w:sz w:val="24"/>
          <w:lang w:val="en-US"/>
        </w:rPr>
      </w:pPr>
      <w:r>
        <w:rPr>
          <w:b w:val="0"/>
          <w:sz w:val="24"/>
          <w:lang w:val="en-US"/>
        </w:rPr>
        <w:t>清算过程中的有关重大事项须及时公告；基金财产清算报告经符合《中华人民共和国证券法》规定的会计师事务所审计，律师事务所出具法律意见书后，由基金财产清算小组报中国证监会备案并公告，基金财产清算小组应当将清算报告登载在规定网站上，并将清算报告提示性公告登载在规定报刊上。</w:t>
      </w:r>
    </w:p>
    <w:p>
      <w:pPr>
        <w:pStyle w:val="66"/>
        <w:ind w:firstLine="480"/>
        <w:rPr>
          <w:b w:val="0"/>
          <w:sz w:val="24"/>
          <w:lang w:val="en-US"/>
        </w:rPr>
      </w:pPr>
      <w:r>
        <w:rPr>
          <w:b w:val="0"/>
          <w:sz w:val="24"/>
          <w:lang w:val="en-US"/>
        </w:rPr>
        <w:t>9.</w:t>
      </w:r>
      <w:r>
        <w:rPr>
          <w:rFonts w:hint="eastAsia"/>
          <w:b w:val="0"/>
          <w:sz w:val="24"/>
          <w:lang w:val="en-US"/>
        </w:rPr>
        <w:t>基金财产清算账册及文件的保存</w:t>
      </w:r>
    </w:p>
    <w:p>
      <w:pPr>
        <w:spacing w:line="360" w:lineRule="auto"/>
        <w:ind w:firstLine="480"/>
        <w:rPr>
          <w:rFonts w:ascii="宋体" w:hAnsi="宋体" w:cs="宋体"/>
          <w:sz w:val="24"/>
        </w:rPr>
      </w:pPr>
      <w:r>
        <w:rPr>
          <w:rFonts w:ascii="宋体" w:hAnsi="宋体" w:cs="宋体"/>
          <w:sz w:val="24"/>
        </w:rPr>
        <w:t>基金财产清算账册及有关文件由基金托管人保存，保存期限不少于法律法规的规定。</w:t>
      </w:r>
    </w:p>
    <w:bookmarkEnd w:id="62"/>
    <w:bookmarkEnd w:id="64"/>
    <w:p>
      <w:pPr>
        <w:pStyle w:val="2"/>
        <w:adjustRightInd w:val="0"/>
        <w:snapToGrid w:val="0"/>
        <w:spacing w:before="0" w:after="0" w:line="360" w:lineRule="auto"/>
        <w:jc w:val="center"/>
        <w:rPr>
          <w:rFonts w:ascii="宋体" w:hAnsi="宋体"/>
        </w:rPr>
      </w:pPr>
      <w:r>
        <w:rPr>
          <w:rFonts w:ascii="宋体" w:hAnsi="宋体"/>
        </w:rPr>
        <w:br w:type="page"/>
      </w:r>
      <w:bookmarkEnd w:id="63"/>
      <w:bookmarkStart w:id="70" w:name="_Toc103003363"/>
      <w:r>
        <w:rPr>
          <w:rFonts w:ascii="宋体" w:hAnsi="宋体"/>
        </w:rPr>
        <w:t>第</w:t>
      </w:r>
      <w:r>
        <w:rPr>
          <w:rFonts w:hint="eastAsia" w:ascii="宋体" w:hAnsi="宋体"/>
        </w:rPr>
        <w:t>二十一</w:t>
      </w:r>
      <w:r>
        <w:rPr>
          <w:rFonts w:ascii="宋体" w:hAnsi="宋体"/>
        </w:rPr>
        <w:t>部分</w:t>
      </w:r>
      <w:r>
        <w:rPr>
          <w:rFonts w:hint="eastAsia" w:ascii="宋体" w:hAnsi="宋体"/>
        </w:rPr>
        <w:t xml:space="preserve">  对基金份额持有人的服务</w:t>
      </w:r>
      <w:bookmarkEnd w:id="70"/>
    </w:p>
    <w:p>
      <w:pPr>
        <w:pStyle w:val="21"/>
        <w:ind w:firstLine="480" w:firstLineChars="0"/>
        <w:rPr>
          <w:sz w:val="24"/>
        </w:rPr>
      </w:pPr>
    </w:p>
    <w:p>
      <w:pPr>
        <w:pStyle w:val="66"/>
        <w:ind w:firstLine="480"/>
        <w:rPr>
          <w:rFonts w:hAnsi="宋体" w:cs="Times New Roman"/>
          <w:b w:val="0"/>
          <w:bCs w:val="0"/>
          <w:sz w:val="24"/>
          <w:lang w:val="en-US"/>
        </w:rPr>
      </w:pPr>
      <w:r>
        <w:rPr>
          <w:rFonts w:hint="eastAsia" w:hAnsi="宋体" w:cs="Times New Roman"/>
          <w:b w:val="0"/>
          <w:bCs w:val="0"/>
          <w:sz w:val="24"/>
          <w:lang w:val="en-US"/>
        </w:rPr>
        <w:t>基金管理人承诺为基金份额持有人提供一系列的服务，并将根据基金份额持有人的需要和市场的变化增加、修订这些服务项目。</w:t>
      </w:r>
    </w:p>
    <w:p>
      <w:pPr>
        <w:pStyle w:val="66"/>
        <w:ind w:firstLine="480"/>
        <w:rPr>
          <w:rFonts w:hAnsi="宋体" w:cs="Times New Roman"/>
          <w:b w:val="0"/>
          <w:bCs w:val="0"/>
          <w:sz w:val="24"/>
          <w:lang w:val="en-US"/>
        </w:rPr>
      </w:pPr>
      <w:r>
        <w:rPr>
          <w:rFonts w:hint="eastAsia" w:hAnsi="宋体" w:cs="Times New Roman"/>
          <w:b w:val="0"/>
          <w:bCs w:val="0"/>
          <w:sz w:val="24"/>
          <w:lang w:val="en-US"/>
        </w:rPr>
        <w:t>主要服务内容如下：</w:t>
      </w:r>
    </w:p>
    <w:p>
      <w:pPr>
        <w:pStyle w:val="66"/>
        <w:ind w:firstLine="480"/>
        <w:rPr>
          <w:rFonts w:hAnsi="宋体" w:cs="Times New Roman"/>
          <w:b w:val="0"/>
          <w:bCs w:val="0"/>
          <w:sz w:val="24"/>
          <w:lang w:val="en-US"/>
        </w:rPr>
      </w:pPr>
      <w:r>
        <w:rPr>
          <w:rFonts w:hint="eastAsia" w:hAnsi="宋体" w:cs="Times New Roman"/>
          <w:b w:val="0"/>
          <w:bCs w:val="0"/>
          <w:sz w:val="24"/>
          <w:lang w:val="en-US"/>
        </w:rPr>
        <w:t>一、资料寄送</w:t>
      </w:r>
    </w:p>
    <w:p>
      <w:pPr>
        <w:pStyle w:val="66"/>
        <w:ind w:firstLine="480"/>
        <w:rPr>
          <w:rFonts w:hAnsi="宋体" w:cs="Times New Roman"/>
          <w:b w:val="0"/>
          <w:bCs w:val="0"/>
          <w:sz w:val="24"/>
          <w:lang w:val="en-US"/>
        </w:rPr>
      </w:pPr>
      <w:r>
        <w:rPr>
          <w:rFonts w:hint="eastAsia" w:hAnsi="宋体" w:cs="Times New Roman"/>
          <w:b w:val="0"/>
          <w:bCs w:val="0"/>
          <w:sz w:val="24"/>
          <w:lang w:val="en-US"/>
        </w:rPr>
        <w:t>1.基金投资人对账单</w:t>
      </w:r>
    </w:p>
    <w:p>
      <w:pPr>
        <w:pStyle w:val="21"/>
        <w:adjustRightInd w:val="0"/>
        <w:snapToGrid w:val="0"/>
        <w:ind w:firstLine="480"/>
        <w:rPr>
          <w:sz w:val="24"/>
        </w:rPr>
      </w:pPr>
      <w:r>
        <w:rPr>
          <w:rFonts w:hint="eastAsia"/>
          <w:sz w:val="24"/>
        </w:rPr>
        <w:t>（1）电子对账单服务采取定制方式，未定制此服务的投资人可通过公司官网、客服热线、官方微信公众号等途径自助查询账户情况。电子对账单按月度、季度和年度提供，包括微信、电子邮件等电子方式，基金份额持有人可根据需要自行选择。电子对账单会在当期结束后，5个工作日内发送。微信未绑定账户、取消关注、电子邮件地址不详的除外。</w:t>
      </w:r>
    </w:p>
    <w:p>
      <w:pPr>
        <w:pStyle w:val="21"/>
        <w:adjustRightInd w:val="0"/>
        <w:snapToGrid w:val="0"/>
        <w:ind w:firstLine="480"/>
        <w:rPr>
          <w:sz w:val="24"/>
        </w:rPr>
      </w:pPr>
      <w:r>
        <w:rPr>
          <w:rFonts w:hint="eastAsia"/>
          <w:sz w:val="24"/>
        </w:rPr>
        <w:t>（2）由于投资者提供的电子邮箱不详、错误、未及时变更或通讯故障、延误、微信未绑定账户、取消关注等原因有可能造成对账单无法按时或准确送达。因上述原因无法正常收取对账单的投资者，敬请及时通过本基金管理人网站，或拨打客服热线查询、核对、变更您的预留联系方式。</w:t>
      </w:r>
    </w:p>
    <w:p>
      <w:pPr>
        <w:pStyle w:val="21"/>
        <w:adjustRightInd w:val="0"/>
        <w:snapToGrid w:val="0"/>
        <w:ind w:firstLine="480"/>
        <w:rPr>
          <w:sz w:val="24"/>
        </w:rPr>
      </w:pPr>
      <w:r>
        <w:rPr>
          <w:rFonts w:hint="eastAsia"/>
          <w:sz w:val="24"/>
        </w:rPr>
        <w:t>（3）如需纸质对账单，敬请拨打客服热线获取。</w:t>
      </w:r>
    </w:p>
    <w:p>
      <w:pPr>
        <w:pStyle w:val="66"/>
        <w:ind w:firstLine="480"/>
        <w:rPr>
          <w:rFonts w:hAnsi="宋体" w:cs="Times New Roman"/>
          <w:b w:val="0"/>
          <w:bCs w:val="0"/>
          <w:sz w:val="24"/>
          <w:lang w:val="en-US"/>
        </w:rPr>
      </w:pPr>
      <w:r>
        <w:rPr>
          <w:rFonts w:hint="eastAsia" w:hAnsi="宋体" w:cs="Times New Roman"/>
          <w:b w:val="0"/>
          <w:bCs w:val="0"/>
          <w:sz w:val="24"/>
          <w:lang w:val="en-US"/>
        </w:rPr>
        <w:t>2.其他相关的信息资料</w:t>
      </w:r>
    </w:p>
    <w:p>
      <w:pPr>
        <w:pStyle w:val="66"/>
        <w:ind w:firstLine="480"/>
        <w:rPr>
          <w:rFonts w:hAnsi="宋体" w:cs="Times New Roman"/>
          <w:b w:val="0"/>
          <w:bCs w:val="0"/>
          <w:sz w:val="24"/>
          <w:lang w:val="en-US"/>
        </w:rPr>
      </w:pPr>
      <w:r>
        <w:rPr>
          <w:rFonts w:hint="eastAsia" w:hAnsi="宋体" w:cs="Times New Roman"/>
          <w:b w:val="0"/>
          <w:bCs w:val="0"/>
          <w:sz w:val="24"/>
          <w:lang w:val="en-US"/>
        </w:rPr>
        <w:t>二、咨询、查询服务</w:t>
      </w:r>
    </w:p>
    <w:p>
      <w:pPr>
        <w:pStyle w:val="66"/>
        <w:ind w:firstLine="480"/>
        <w:rPr>
          <w:rFonts w:hAnsi="宋体" w:cs="Times New Roman"/>
          <w:b w:val="0"/>
          <w:bCs w:val="0"/>
          <w:sz w:val="24"/>
          <w:lang w:val="en-US"/>
        </w:rPr>
      </w:pPr>
      <w:r>
        <w:rPr>
          <w:rFonts w:hint="eastAsia" w:hAnsi="宋体" w:cs="Times New Roman"/>
          <w:b w:val="0"/>
          <w:bCs w:val="0"/>
          <w:sz w:val="24"/>
          <w:lang w:val="en-US"/>
        </w:rPr>
        <w:t>1.信息查询密码</w:t>
      </w:r>
    </w:p>
    <w:p>
      <w:pPr>
        <w:pStyle w:val="66"/>
        <w:ind w:firstLine="480"/>
        <w:rPr>
          <w:rFonts w:hAnsi="宋体" w:cs="Times New Roman"/>
          <w:b w:val="0"/>
          <w:bCs w:val="0"/>
          <w:sz w:val="24"/>
          <w:lang w:val="en-US"/>
        </w:rPr>
      </w:pPr>
      <w:r>
        <w:rPr>
          <w:rFonts w:hint="eastAsia" w:hAnsi="宋体" w:cs="Times New Roman"/>
          <w:b w:val="0"/>
          <w:bCs w:val="0"/>
          <w:sz w:val="24"/>
          <w:lang w:val="en-US"/>
        </w:rPr>
        <w:t>基金查询密码用于投资人查询基金账户下的账户和交易信息。投资人请在知晓基金账号后，及时登录公司网站www.yhfund.com.cn修改基金查询密码，为充分保障投资人信息安全，新密码应为6-18位数字加字母组合。</w:t>
      </w:r>
    </w:p>
    <w:p>
      <w:pPr>
        <w:pStyle w:val="66"/>
        <w:ind w:firstLine="480"/>
        <w:rPr>
          <w:rFonts w:hAnsi="宋体" w:cs="Times New Roman"/>
          <w:b w:val="0"/>
          <w:bCs w:val="0"/>
          <w:sz w:val="24"/>
          <w:lang w:val="en-US"/>
        </w:rPr>
      </w:pPr>
      <w:r>
        <w:rPr>
          <w:rFonts w:hint="eastAsia" w:hAnsi="宋体" w:cs="Times New Roman"/>
          <w:b w:val="0"/>
          <w:bCs w:val="0"/>
          <w:sz w:val="24"/>
          <w:lang w:val="en-US"/>
        </w:rPr>
        <w:t>2.信息咨询、查询</w:t>
      </w:r>
    </w:p>
    <w:p>
      <w:pPr>
        <w:pStyle w:val="66"/>
        <w:ind w:firstLine="480"/>
        <w:rPr>
          <w:rFonts w:hAnsi="宋体" w:cs="Times New Roman"/>
          <w:b w:val="0"/>
          <w:bCs w:val="0"/>
          <w:sz w:val="24"/>
          <w:lang w:val="en-US"/>
        </w:rPr>
      </w:pPr>
      <w:r>
        <w:rPr>
          <w:rFonts w:hint="eastAsia" w:hAnsi="宋体" w:cs="Times New Roman"/>
          <w:b w:val="0"/>
          <w:bCs w:val="0"/>
          <w:sz w:val="24"/>
          <w:lang w:val="en-US"/>
        </w:rPr>
        <w:t>投资人如果想了解认购、申购和赎回等交易情况、基金账户余额、基金产品与服务等信息，请拨打基金管理人客户服务中心电话或登录公司网站进行咨询、查询。</w:t>
      </w:r>
    </w:p>
    <w:p>
      <w:pPr>
        <w:pStyle w:val="66"/>
        <w:ind w:firstLine="480"/>
        <w:rPr>
          <w:rFonts w:hAnsi="宋体" w:cs="Times New Roman"/>
          <w:b w:val="0"/>
          <w:bCs w:val="0"/>
          <w:sz w:val="24"/>
          <w:lang w:val="en-US"/>
        </w:rPr>
      </w:pPr>
      <w:r>
        <w:rPr>
          <w:rFonts w:hint="eastAsia" w:hAnsi="宋体" w:cs="Times New Roman"/>
          <w:b w:val="0"/>
          <w:bCs w:val="0"/>
          <w:sz w:val="24"/>
          <w:lang w:val="en-US"/>
        </w:rPr>
        <w:t>客户服务中心：400-678-3333、010-85186558</w:t>
      </w:r>
    </w:p>
    <w:p>
      <w:pPr>
        <w:pStyle w:val="66"/>
        <w:ind w:firstLine="480"/>
        <w:rPr>
          <w:rFonts w:hAnsi="宋体" w:cs="Times New Roman"/>
          <w:b w:val="0"/>
          <w:bCs w:val="0"/>
          <w:sz w:val="24"/>
          <w:lang w:val="en-US"/>
        </w:rPr>
      </w:pPr>
      <w:r>
        <w:rPr>
          <w:rFonts w:hint="eastAsia" w:hAnsi="宋体" w:cs="Times New Roman"/>
          <w:b w:val="0"/>
          <w:bCs w:val="0"/>
          <w:sz w:val="24"/>
          <w:lang w:val="en-US"/>
        </w:rPr>
        <w:t>公司网址：www.yhfund.com.cn</w:t>
      </w:r>
    </w:p>
    <w:p>
      <w:pPr>
        <w:pStyle w:val="66"/>
        <w:ind w:firstLine="480"/>
        <w:rPr>
          <w:rFonts w:hAnsi="宋体" w:cs="Times New Roman"/>
          <w:b w:val="0"/>
          <w:bCs w:val="0"/>
          <w:sz w:val="24"/>
          <w:lang w:val="en-US"/>
        </w:rPr>
      </w:pPr>
      <w:r>
        <w:rPr>
          <w:rFonts w:hint="eastAsia" w:hAnsi="宋体" w:cs="Times New Roman"/>
          <w:b w:val="0"/>
          <w:bCs w:val="0"/>
          <w:sz w:val="24"/>
          <w:lang w:val="en-US"/>
        </w:rPr>
        <w:t>三、在线服务</w:t>
      </w:r>
    </w:p>
    <w:p>
      <w:pPr>
        <w:pStyle w:val="66"/>
        <w:ind w:firstLine="480"/>
        <w:rPr>
          <w:rFonts w:hAnsi="宋体" w:cs="Times New Roman"/>
          <w:b w:val="0"/>
          <w:bCs w:val="0"/>
          <w:sz w:val="24"/>
          <w:lang w:val="en-US"/>
        </w:rPr>
      </w:pPr>
      <w:r>
        <w:rPr>
          <w:rFonts w:hint="eastAsia" w:hAnsi="宋体" w:cs="Times New Roman"/>
          <w:b w:val="0"/>
          <w:bCs w:val="0"/>
          <w:sz w:val="24"/>
          <w:lang w:val="en-US"/>
        </w:rPr>
        <w:t>基金管理人利用自己的线上平台定期或不定期为基金投资人提供投资资讯及基金经理（或投资顾问）交流服务。</w:t>
      </w:r>
    </w:p>
    <w:p>
      <w:pPr>
        <w:pStyle w:val="66"/>
        <w:ind w:firstLine="480"/>
        <w:rPr>
          <w:rFonts w:hAnsi="宋体" w:cs="Times New Roman"/>
          <w:b w:val="0"/>
          <w:bCs w:val="0"/>
          <w:sz w:val="24"/>
          <w:lang w:val="en-US"/>
        </w:rPr>
      </w:pPr>
      <w:r>
        <w:rPr>
          <w:rFonts w:hint="eastAsia" w:hAnsi="宋体" w:cs="Times New Roman"/>
          <w:b w:val="0"/>
          <w:bCs w:val="0"/>
          <w:sz w:val="24"/>
          <w:lang w:val="en-US"/>
        </w:rPr>
        <w:t>四、电子交易与服务</w:t>
      </w:r>
    </w:p>
    <w:p>
      <w:pPr>
        <w:pStyle w:val="66"/>
        <w:ind w:firstLine="480"/>
        <w:rPr>
          <w:rFonts w:hAnsi="宋体" w:cs="Times New Roman"/>
          <w:b w:val="0"/>
          <w:bCs w:val="0"/>
          <w:sz w:val="24"/>
          <w:lang w:val="en-US"/>
        </w:rPr>
      </w:pPr>
      <w:r>
        <w:rPr>
          <w:rFonts w:hint="eastAsia" w:hAnsi="宋体" w:cs="Times New Roman"/>
          <w:b w:val="0"/>
          <w:bCs w:val="0"/>
          <w:sz w:val="24"/>
          <w:lang w:val="en-US"/>
        </w:rPr>
        <w:t>投资人可通过基金管理人的线上交易系统进行基金交易，详情请查看公司网站或相关公告。</w:t>
      </w:r>
    </w:p>
    <w:p>
      <w:pPr>
        <w:pStyle w:val="66"/>
        <w:ind w:firstLine="480"/>
        <w:rPr>
          <w:rFonts w:hAnsi="宋体" w:cs="Times New Roman"/>
          <w:b w:val="0"/>
          <w:bCs w:val="0"/>
          <w:sz w:val="24"/>
          <w:lang w:val="en-US"/>
        </w:rPr>
      </w:pPr>
      <w:r>
        <w:rPr>
          <w:rFonts w:hint="eastAsia" w:hAnsi="宋体" w:cs="Times New Roman"/>
          <w:b w:val="0"/>
          <w:bCs w:val="0"/>
          <w:sz w:val="24"/>
          <w:lang w:val="en-US"/>
        </w:rPr>
        <w:t>五、如本招募说明书存在任何您</w:t>
      </w:r>
      <w:r>
        <w:rPr>
          <w:rFonts w:hAnsi="宋体" w:cs="Times New Roman"/>
          <w:b w:val="0"/>
          <w:bCs w:val="0"/>
          <w:sz w:val="24"/>
          <w:lang w:val="en-US"/>
        </w:rPr>
        <w:t>/</w:t>
      </w:r>
      <w:r>
        <w:rPr>
          <w:rFonts w:hint="eastAsia" w:hAnsi="宋体" w:cs="Times New Roman"/>
          <w:b w:val="0"/>
          <w:bCs w:val="0"/>
          <w:sz w:val="24"/>
          <w:lang w:val="en-US"/>
        </w:rPr>
        <w:t>贵机构无法理解的内容，请通过上述方式联系基金管理人。请确保投资前，您</w:t>
      </w:r>
      <w:r>
        <w:rPr>
          <w:rFonts w:hAnsi="宋体" w:cs="Times New Roman"/>
          <w:b w:val="0"/>
          <w:bCs w:val="0"/>
          <w:sz w:val="24"/>
          <w:lang w:val="en-US"/>
        </w:rPr>
        <w:t>/</w:t>
      </w:r>
      <w:r>
        <w:rPr>
          <w:rFonts w:hint="eastAsia" w:hAnsi="宋体" w:cs="Times New Roman"/>
          <w:b w:val="0"/>
          <w:bCs w:val="0"/>
          <w:sz w:val="24"/>
          <w:lang w:val="en-US"/>
        </w:rPr>
        <w:t>贵机构已经全面理解了本招募说明书。</w:t>
      </w:r>
    </w:p>
    <w:p>
      <w:pPr>
        <w:pStyle w:val="2"/>
        <w:adjustRightInd w:val="0"/>
        <w:snapToGrid w:val="0"/>
        <w:spacing w:before="0" w:after="0" w:line="360" w:lineRule="auto"/>
        <w:jc w:val="center"/>
        <w:rPr>
          <w:rFonts w:ascii="宋体" w:hAnsi="宋体"/>
        </w:rPr>
      </w:pPr>
      <w:r>
        <w:rPr>
          <w:rFonts w:ascii="宋体" w:hAnsi="宋体"/>
        </w:rPr>
        <w:br w:type="page"/>
      </w:r>
      <w:bookmarkStart w:id="71" w:name="_Toc103003364"/>
      <w:r>
        <w:rPr>
          <w:rFonts w:ascii="宋体" w:hAnsi="宋体"/>
        </w:rPr>
        <w:t>第</w:t>
      </w:r>
      <w:r>
        <w:rPr>
          <w:rFonts w:hint="eastAsia" w:ascii="宋体" w:hAnsi="宋体"/>
        </w:rPr>
        <w:t>二十二</w:t>
      </w:r>
      <w:r>
        <w:rPr>
          <w:rFonts w:ascii="宋体" w:hAnsi="宋体"/>
        </w:rPr>
        <w:t>部分</w:t>
      </w:r>
      <w:r>
        <w:rPr>
          <w:rFonts w:hint="eastAsia" w:ascii="宋体" w:hAnsi="宋体"/>
        </w:rPr>
        <w:t xml:space="preserve">  其他应披露事项</w:t>
      </w:r>
      <w:bookmarkEnd w:id="71"/>
    </w:p>
    <w:p>
      <w:pPr>
        <w:pStyle w:val="21"/>
        <w:ind w:firstLine="480" w:firstLineChars="0"/>
        <w:rPr>
          <w:sz w:val="24"/>
        </w:rPr>
      </w:pPr>
    </w:p>
    <w:p>
      <w:pPr>
        <w:pStyle w:val="21"/>
        <w:ind w:firstLine="480" w:firstLineChars="0"/>
        <w:rPr>
          <w:sz w:val="24"/>
        </w:rPr>
      </w:pPr>
      <w:r>
        <w:rPr>
          <w:rFonts w:hint="eastAsia"/>
          <w:sz w:val="24"/>
        </w:rPr>
        <w:t>无。</w:t>
      </w:r>
    </w:p>
    <w:p>
      <w:pPr>
        <w:pStyle w:val="2"/>
        <w:adjustRightInd w:val="0"/>
        <w:snapToGrid w:val="0"/>
        <w:spacing w:before="0" w:after="0" w:line="360" w:lineRule="auto"/>
        <w:jc w:val="center"/>
        <w:rPr>
          <w:rFonts w:ascii="宋体" w:hAnsi="宋体"/>
        </w:rPr>
      </w:pPr>
      <w:r>
        <w:rPr>
          <w:rFonts w:ascii="宋体" w:hAnsi="宋体"/>
        </w:rPr>
        <w:br w:type="page"/>
      </w:r>
      <w:bookmarkStart w:id="72" w:name="_Toc103003365"/>
      <w:r>
        <w:rPr>
          <w:rFonts w:ascii="宋体" w:hAnsi="宋体"/>
        </w:rPr>
        <w:t>第</w:t>
      </w:r>
      <w:r>
        <w:rPr>
          <w:rFonts w:hint="eastAsia" w:ascii="宋体" w:hAnsi="宋体"/>
        </w:rPr>
        <w:t>二十三</w:t>
      </w:r>
      <w:r>
        <w:rPr>
          <w:rFonts w:ascii="宋体" w:hAnsi="宋体"/>
        </w:rPr>
        <w:t>部分</w:t>
      </w:r>
      <w:r>
        <w:rPr>
          <w:rFonts w:hint="eastAsia" w:ascii="宋体" w:hAnsi="宋体"/>
        </w:rPr>
        <w:t xml:space="preserve">  招募说明书的存放及查阅方式</w:t>
      </w:r>
      <w:bookmarkEnd w:id="72"/>
    </w:p>
    <w:p>
      <w:pPr>
        <w:pStyle w:val="21"/>
        <w:ind w:firstLine="480" w:firstLineChars="0"/>
        <w:rPr>
          <w:sz w:val="24"/>
        </w:rPr>
      </w:pPr>
    </w:p>
    <w:p>
      <w:pPr>
        <w:pStyle w:val="21"/>
        <w:adjustRightInd w:val="0"/>
        <w:snapToGrid w:val="0"/>
        <w:ind w:firstLine="480"/>
        <w:rPr>
          <w:sz w:val="24"/>
        </w:rPr>
      </w:pPr>
      <w:r>
        <w:rPr>
          <w:rFonts w:hint="eastAsia"/>
          <w:sz w:val="24"/>
        </w:rPr>
        <w:t>本基金招募说明书公布后，应当分别存放在</w:t>
      </w:r>
      <w:r>
        <w:rPr>
          <w:sz w:val="24"/>
        </w:rPr>
        <w:t>基金管理人、基金托管人和基金销售机构的住所</w:t>
      </w:r>
      <w:r>
        <w:rPr>
          <w:rFonts w:hint="eastAsia"/>
          <w:sz w:val="24"/>
        </w:rPr>
        <w:t>，投资人可在办公时间免费查阅。在支付工本费后，可在合理时间内取得上述文件的复制件或复印件，但应以本基金招募说明书的正本为准。</w:t>
      </w:r>
    </w:p>
    <w:p>
      <w:pPr>
        <w:pStyle w:val="21"/>
        <w:adjustRightInd w:val="0"/>
        <w:snapToGrid w:val="0"/>
        <w:ind w:firstLine="480"/>
        <w:rPr>
          <w:sz w:val="24"/>
        </w:rPr>
      </w:pPr>
      <w:r>
        <w:rPr>
          <w:rFonts w:hint="eastAsia"/>
          <w:sz w:val="24"/>
        </w:rPr>
        <w:t>投资人还可以直接登录基金管理人的网站（www.yhfund.com.cn）查阅和下载招募说明书。</w:t>
      </w:r>
    </w:p>
    <w:p>
      <w:pPr>
        <w:pStyle w:val="2"/>
        <w:adjustRightInd w:val="0"/>
        <w:snapToGrid w:val="0"/>
        <w:spacing w:before="0" w:after="0" w:line="360" w:lineRule="auto"/>
        <w:jc w:val="center"/>
        <w:rPr>
          <w:rFonts w:ascii="宋体" w:hAnsi="宋体"/>
        </w:rPr>
      </w:pPr>
      <w:r>
        <w:rPr>
          <w:rFonts w:ascii="宋体" w:hAnsi="宋体"/>
        </w:rPr>
        <w:br w:type="page"/>
      </w:r>
      <w:bookmarkStart w:id="73" w:name="_Toc103003366"/>
      <w:r>
        <w:rPr>
          <w:rFonts w:ascii="宋体" w:hAnsi="宋体"/>
        </w:rPr>
        <w:t>第</w:t>
      </w:r>
      <w:r>
        <w:rPr>
          <w:rFonts w:hint="eastAsia" w:ascii="宋体" w:hAnsi="宋体"/>
        </w:rPr>
        <w:t>二十四</w:t>
      </w:r>
      <w:r>
        <w:rPr>
          <w:rFonts w:ascii="宋体" w:hAnsi="宋体"/>
        </w:rPr>
        <w:t>部分</w:t>
      </w:r>
      <w:r>
        <w:rPr>
          <w:rFonts w:hint="eastAsia" w:ascii="宋体" w:hAnsi="宋体"/>
        </w:rPr>
        <w:t xml:space="preserve">  备查文件</w:t>
      </w:r>
      <w:bookmarkEnd w:id="73"/>
    </w:p>
    <w:p>
      <w:pPr>
        <w:pStyle w:val="21"/>
        <w:adjustRightInd w:val="0"/>
        <w:snapToGrid w:val="0"/>
        <w:ind w:firstLine="480"/>
        <w:rPr>
          <w:sz w:val="24"/>
        </w:rPr>
      </w:pPr>
    </w:p>
    <w:p>
      <w:pPr>
        <w:pStyle w:val="21"/>
        <w:adjustRightInd w:val="0"/>
        <w:snapToGrid w:val="0"/>
        <w:ind w:firstLine="480"/>
        <w:rPr>
          <w:sz w:val="24"/>
        </w:rPr>
      </w:pPr>
      <w:r>
        <w:rPr>
          <w:sz w:val="24"/>
        </w:rPr>
        <w:t>1</w:t>
      </w:r>
      <w:r>
        <w:rPr>
          <w:rFonts w:hint="eastAsia"/>
          <w:sz w:val="24"/>
        </w:rPr>
        <w:t>、中国证监会准予银华中证A50交易型开放式指数证券投资基金联接基金募集注册的文件；</w:t>
      </w:r>
    </w:p>
    <w:p>
      <w:pPr>
        <w:pStyle w:val="21"/>
        <w:adjustRightInd w:val="0"/>
        <w:snapToGrid w:val="0"/>
        <w:ind w:firstLine="480"/>
        <w:rPr>
          <w:sz w:val="24"/>
        </w:rPr>
      </w:pPr>
      <w:r>
        <w:rPr>
          <w:sz w:val="24"/>
        </w:rPr>
        <w:t>2</w:t>
      </w:r>
      <w:r>
        <w:rPr>
          <w:rFonts w:hint="eastAsia"/>
          <w:sz w:val="24"/>
        </w:rPr>
        <w:t>、《银华中证A50交易型开放式指数证券投资基金联接基金基金合同》；</w:t>
      </w:r>
    </w:p>
    <w:p>
      <w:pPr>
        <w:pStyle w:val="21"/>
        <w:adjustRightInd w:val="0"/>
        <w:snapToGrid w:val="0"/>
        <w:ind w:firstLine="480"/>
        <w:rPr>
          <w:sz w:val="24"/>
        </w:rPr>
      </w:pPr>
      <w:r>
        <w:rPr>
          <w:sz w:val="24"/>
        </w:rPr>
        <w:t>3</w:t>
      </w:r>
      <w:r>
        <w:rPr>
          <w:rFonts w:hint="eastAsia"/>
          <w:sz w:val="24"/>
        </w:rPr>
        <w:t>、《银华中证A50交易型开放式指数证券投资基金联接基金托管协议》；</w:t>
      </w:r>
    </w:p>
    <w:p>
      <w:pPr>
        <w:pStyle w:val="21"/>
        <w:adjustRightInd w:val="0"/>
        <w:snapToGrid w:val="0"/>
        <w:ind w:firstLine="480"/>
        <w:rPr>
          <w:sz w:val="24"/>
        </w:rPr>
      </w:pPr>
      <w:r>
        <w:rPr>
          <w:sz w:val="24"/>
        </w:rPr>
        <w:t>4</w:t>
      </w:r>
      <w:r>
        <w:rPr>
          <w:rFonts w:hint="eastAsia"/>
          <w:sz w:val="24"/>
        </w:rPr>
        <w:t>、关于募集注册银华中证A50交易型开放式指数证券投资基金联接基金的法律意见；</w:t>
      </w:r>
    </w:p>
    <w:p>
      <w:pPr>
        <w:pStyle w:val="21"/>
        <w:adjustRightInd w:val="0"/>
        <w:snapToGrid w:val="0"/>
        <w:ind w:firstLine="480"/>
        <w:rPr>
          <w:sz w:val="24"/>
        </w:rPr>
      </w:pPr>
      <w:r>
        <w:rPr>
          <w:sz w:val="24"/>
        </w:rPr>
        <w:t>5</w:t>
      </w:r>
      <w:r>
        <w:rPr>
          <w:rFonts w:hint="eastAsia"/>
          <w:sz w:val="24"/>
        </w:rPr>
        <w:t>、基金管理人业务资格批件和营业执照；</w:t>
      </w:r>
    </w:p>
    <w:p>
      <w:pPr>
        <w:pStyle w:val="21"/>
        <w:adjustRightInd w:val="0"/>
        <w:snapToGrid w:val="0"/>
        <w:ind w:firstLine="480"/>
        <w:rPr>
          <w:sz w:val="24"/>
        </w:rPr>
      </w:pPr>
      <w:r>
        <w:rPr>
          <w:sz w:val="24"/>
        </w:rPr>
        <w:t>6</w:t>
      </w:r>
      <w:r>
        <w:rPr>
          <w:rFonts w:hint="eastAsia"/>
          <w:sz w:val="24"/>
        </w:rPr>
        <w:t>、基金托管人业务资格批件和营业执照；</w:t>
      </w:r>
    </w:p>
    <w:p>
      <w:pPr>
        <w:pStyle w:val="21"/>
        <w:adjustRightInd w:val="0"/>
        <w:snapToGrid w:val="0"/>
        <w:ind w:firstLine="480"/>
        <w:rPr>
          <w:sz w:val="24"/>
        </w:rPr>
      </w:pPr>
      <w:r>
        <w:rPr>
          <w:sz w:val="24"/>
        </w:rPr>
        <w:t>7</w:t>
      </w:r>
      <w:r>
        <w:rPr>
          <w:rFonts w:hint="eastAsia"/>
          <w:sz w:val="24"/>
        </w:rPr>
        <w:t>、中国证监会要求的其他文件。</w:t>
      </w:r>
    </w:p>
    <w:p>
      <w:pPr>
        <w:pStyle w:val="21"/>
        <w:ind w:firstLineChars="0"/>
        <w:jc w:val="left"/>
        <w:rPr>
          <w:sz w:val="24"/>
        </w:rPr>
      </w:pPr>
      <w:r>
        <w:rPr>
          <w:rFonts w:hint="eastAsia"/>
          <w:sz w:val="24"/>
        </w:rPr>
        <w:t>基金托管人业务资格批件和营业执照存放在基金托管人处；基金合同、托管协议及其余备查文件存放在基金管理人处。投资人可在营业时间免费到存放地点查阅，也可按工本费购买复印件。</w:t>
      </w:r>
    </w:p>
    <w:p>
      <w:pPr>
        <w:spacing w:line="312" w:lineRule="exact"/>
        <w:ind w:firstLine="420" w:firstLineChars="200"/>
        <w:rPr>
          <w:lang w:eastAsia="zh-Hans"/>
        </w:rPr>
      </w:pPr>
    </w:p>
    <w:p>
      <w:pPr>
        <w:pStyle w:val="21"/>
        <w:ind w:firstLineChars="0"/>
        <w:jc w:val="left"/>
        <w:rPr>
          <w:sz w:val="24"/>
        </w:rPr>
      </w:pPr>
    </w:p>
    <w:sectPr>
      <w:footerReference r:id="rId6"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SimSun-Identity-H">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ascii="宋体" w:hAnsi="宋体"/>
        <w:sz w:val="21"/>
      </w:rPr>
    </w:pPr>
    <w:r>
      <w:rPr>
        <w:rFonts w:ascii="宋体" w:hAnsi="宋体"/>
        <w:sz w:val="21"/>
      </w:rPr>
      <w:fldChar w:fldCharType="begin"/>
    </w:r>
    <w:r>
      <w:rPr>
        <w:rFonts w:ascii="宋体" w:hAnsi="宋体"/>
        <w:sz w:val="21"/>
      </w:rPr>
      <w:instrText xml:space="preserve"> PAGE   \* MERGEFORMAT </w:instrText>
    </w:r>
    <w:r>
      <w:rPr>
        <w:rFonts w:ascii="宋体" w:hAnsi="宋体"/>
        <w:sz w:val="21"/>
      </w:rPr>
      <w:fldChar w:fldCharType="separate"/>
    </w:r>
    <w:r>
      <w:rPr>
        <w:rFonts w:ascii="宋体" w:hAnsi="宋体"/>
        <w:sz w:val="21"/>
        <w:lang w:val="zh-CN"/>
      </w:rPr>
      <w:t>1</w:t>
    </w:r>
    <w:r>
      <w:rPr>
        <w:rFonts w:ascii="宋体" w:hAnsi="宋体"/>
        <w:sz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147</w:t>
    </w:r>
    <w:r>
      <w:rPr>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right" w:pos="8222"/>
        <w:tab w:val="clear" w:pos="8306"/>
      </w:tabs>
      <w:ind w:right="84"/>
      <w:jc w:val="left"/>
      <w:rPr>
        <w:rFonts w:hint="eastAsia" w:eastAsia="宋体"/>
        <w:lang w:eastAsia="zh-CN"/>
      </w:rPr>
    </w:pPr>
    <w:r>
      <w:rPr>
        <w:rFonts w:hint="eastAsia"/>
        <w:color w:val="000000"/>
      </w:rPr>
      <w:t>银华中证A50交易型开放式指数证券投资基金联接基金</w:t>
    </w:r>
    <w:r>
      <w:rPr>
        <w:rFonts w:hint="eastAsia"/>
      </w:rPr>
      <w:t xml:space="preserve"> </w:t>
    </w:r>
    <w:r>
      <w:t xml:space="preserve">        </w:t>
    </w:r>
    <w:r>
      <w:rPr>
        <w:rFonts w:hint="eastAsia"/>
      </w:rPr>
      <w:t xml:space="preserve">     </w:t>
    </w:r>
    <w:r>
      <w:t xml:space="preserve"> </w:t>
    </w:r>
    <w:r>
      <w:tab/>
    </w:r>
    <w:r>
      <w:rPr>
        <w:rFonts w:hint="eastAsia"/>
      </w:rPr>
      <w:t>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323B22"/>
    <w:multiLevelType w:val="multilevel"/>
    <w:tmpl w:val="03323B22"/>
    <w:lvl w:ilvl="0" w:tentative="0">
      <w:start w:val="1"/>
      <w:numFmt w:val="decimal"/>
      <w:lvlText w:val="%1)"/>
      <w:lvlJc w:val="left"/>
      <w:pPr>
        <w:ind w:left="420" w:hanging="420"/>
      </w:pPr>
      <w:rPr>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645710"/>
    <w:multiLevelType w:val="multilevel"/>
    <w:tmpl w:val="0D645710"/>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34A5631E"/>
    <w:multiLevelType w:val="multilevel"/>
    <w:tmpl w:val="34A5631E"/>
    <w:lvl w:ilvl="0" w:tentative="0">
      <w:start w:val="1"/>
      <w:numFmt w:val="decimal"/>
      <w:pStyle w:val="84"/>
      <w:lvlText w:val="(%1)"/>
      <w:lvlJc w:val="left"/>
      <w:pPr>
        <w:tabs>
          <w:tab w:val="left" w:pos="1941"/>
        </w:tabs>
        <w:ind w:left="1941" w:hanging="681"/>
      </w:pPr>
      <w:rPr>
        <w:rFonts w:hint="default" w:ascii="Arial" w:hAnsi="Arial" w:cs="Times New Roman"/>
        <w:b w:val="0"/>
        <w:i w:val="0"/>
        <w:sz w:val="20"/>
      </w:rPr>
    </w:lvl>
    <w:lvl w:ilvl="1" w:tentative="0">
      <w:start w:val="1"/>
      <w:numFmt w:val="lowerLetter"/>
      <w:lvlText w:val="%2."/>
      <w:lvlJc w:val="left"/>
      <w:pPr>
        <w:tabs>
          <w:tab w:val="left" w:pos="1620"/>
        </w:tabs>
        <w:ind w:left="1620" w:hanging="360"/>
      </w:pPr>
      <w:rPr>
        <w:rFonts w:hint="default" w:cs="Times New Roman"/>
      </w:rPr>
    </w:lvl>
    <w:lvl w:ilvl="2" w:tentative="0">
      <w:start w:val="1"/>
      <w:numFmt w:val="lowerRoman"/>
      <w:lvlText w:val="%3."/>
      <w:lvlJc w:val="right"/>
      <w:pPr>
        <w:tabs>
          <w:tab w:val="left" w:pos="2340"/>
        </w:tabs>
        <w:ind w:left="2340" w:hanging="180"/>
      </w:pPr>
      <w:rPr>
        <w:rFonts w:hint="default" w:cs="Times New Roman"/>
      </w:rPr>
    </w:lvl>
    <w:lvl w:ilvl="3" w:tentative="0">
      <w:start w:val="1"/>
      <w:numFmt w:val="decimal"/>
      <w:lvlText w:val="%4."/>
      <w:lvlJc w:val="left"/>
      <w:pPr>
        <w:tabs>
          <w:tab w:val="left" w:pos="3060"/>
        </w:tabs>
        <w:ind w:left="3060" w:hanging="360"/>
      </w:pPr>
      <w:rPr>
        <w:rFonts w:hint="default" w:cs="Times New Roman"/>
      </w:rPr>
    </w:lvl>
    <w:lvl w:ilvl="4" w:tentative="0">
      <w:start w:val="1"/>
      <w:numFmt w:val="lowerLetter"/>
      <w:lvlText w:val="%5."/>
      <w:lvlJc w:val="left"/>
      <w:pPr>
        <w:tabs>
          <w:tab w:val="left" w:pos="3780"/>
        </w:tabs>
        <w:ind w:left="3780" w:hanging="360"/>
      </w:pPr>
      <w:rPr>
        <w:rFonts w:hint="default" w:cs="Times New Roman"/>
      </w:rPr>
    </w:lvl>
    <w:lvl w:ilvl="5" w:tentative="0">
      <w:start w:val="1"/>
      <w:numFmt w:val="lowerRoman"/>
      <w:lvlText w:val="%6."/>
      <w:lvlJc w:val="right"/>
      <w:pPr>
        <w:tabs>
          <w:tab w:val="left" w:pos="4500"/>
        </w:tabs>
        <w:ind w:left="4500" w:hanging="180"/>
      </w:pPr>
      <w:rPr>
        <w:rFonts w:hint="default" w:cs="Times New Roman"/>
      </w:rPr>
    </w:lvl>
    <w:lvl w:ilvl="6" w:tentative="0">
      <w:start w:val="1"/>
      <w:numFmt w:val="decimal"/>
      <w:lvlText w:val="%7."/>
      <w:lvlJc w:val="left"/>
      <w:pPr>
        <w:tabs>
          <w:tab w:val="left" w:pos="5220"/>
        </w:tabs>
        <w:ind w:left="5220" w:hanging="360"/>
      </w:pPr>
      <w:rPr>
        <w:rFonts w:hint="default" w:cs="Times New Roman"/>
      </w:rPr>
    </w:lvl>
    <w:lvl w:ilvl="7" w:tentative="0">
      <w:start w:val="1"/>
      <w:numFmt w:val="lowerLetter"/>
      <w:lvlText w:val="%8."/>
      <w:lvlJc w:val="left"/>
      <w:pPr>
        <w:tabs>
          <w:tab w:val="left" w:pos="5940"/>
        </w:tabs>
        <w:ind w:left="5940" w:hanging="360"/>
      </w:pPr>
      <w:rPr>
        <w:rFonts w:hint="default" w:cs="Times New Roman"/>
      </w:rPr>
    </w:lvl>
    <w:lvl w:ilvl="8" w:tentative="0">
      <w:start w:val="1"/>
      <w:numFmt w:val="lowerRoman"/>
      <w:lvlText w:val="%9."/>
      <w:lvlJc w:val="right"/>
      <w:pPr>
        <w:tabs>
          <w:tab w:val="left" w:pos="6660"/>
        </w:tabs>
        <w:ind w:left="6660" w:hanging="180"/>
      </w:pPr>
      <w:rPr>
        <w:rFonts w:hint="default"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0OThmMWU4NzZlOGE3ZDkxNzljN2Q1MWRjMmIzODEifQ=="/>
  </w:docVars>
  <w:rsids>
    <w:rsidRoot w:val="00BD0D34"/>
    <w:rsid w:val="0000062C"/>
    <w:rsid w:val="000006DE"/>
    <w:rsid w:val="00001321"/>
    <w:rsid w:val="0000183A"/>
    <w:rsid w:val="0000216D"/>
    <w:rsid w:val="00002710"/>
    <w:rsid w:val="00002C55"/>
    <w:rsid w:val="00002FAF"/>
    <w:rsid w:val="0000300F"/>
    <w:rsid w:val="000035B0"/>
    <w:rsid w:val="00003A17"/>
    <w:rsid w:val="00003D91"/>
    <w:rsid w:val="00003F66"/>
    <w:rsid w:val="000044F9"/>
    <w:rsid w:val="000045D9"/>
    <w:rsid w:val="00004848"/>
    <w:rsid w:val="0000487C"/>
    <w:rsid w:val="00004D60"/>
    <w:rsid w:val="000058DC"/>
    <w:rsid w:val="00005EFA"/>
    <w:rsid w:val="000069C7"/>
    <w:rsid w:val="00006A50"/>
    <w:rsid w:val="00006BFA"/>
    <w:rsid w:val="00007B1B"/>
    <w:rsid w:val="00010646"/>
    <w:rsid w:val="000107C5"/>
    <w:rsid w:val="0001117C"/>
    <w:rsid w:val="000111E2"/>
    <w:rsid w:val="000113F3"/>
    <w:rsid w:val="0001143C"/>
    <w:rsid w:val="00011509"/>
    <w:rsid w:val="00011867"/>
    <w:rsid w:val="000118D8"/>
    <w:rsid w:val="000119BB"/>
    <w:rsid w:val="00011AEE"/>
    <w:rsid w:val="00011F8E"/>
    <w:rsid w:val="000124B3"/>
    <w:rsid w:val="000125FC"/>
    <w:rsid w:val="000128F7"/>
    <w:rsid w:val="00013072"/>
    <w:rsid w:val="0001309E"/>
    <w:rsid w:val="0001324D"/>
    <w:rsid w:val="000132DC"/>
    <w:rsid w:val="00013779"/>
    <w:rsid w:val="00013C40"/>
    <w:rsid w:val="00013C4F"/>
    <w:rsid w:val="00013E7E"/>
    <w:rsid w:val="00015B62"/>
    <w:rsid w:val="00015B7D"/>
    <w:rsid w:val="00016259"/>
    <w:rsid w:val="0001656C"/>
    <w:rsid w:val="000166DF"/>
    <w:rsid w:val="00016E7C"/>
    <w:rsid w:val="0001718C"/>
    <w:rsid w:val="000175EC"/>
    <w:rsid w:val="00017957"/>
    <w:rsid w:val="000179B5"/>
    <w:rsid w:val="00017F0B"/>
    <w:rsid w:val="00017F51"/>
    <w:rsid w:val="00020122"/>
    <w:rsid w:val="0002018C"/>
    <w:rsid w:val="0002024C"/>
    <w:rsid w:val="0002086B"/>
    <w:rsid w:val="00020914"/>
    <w:rsid w:val="00020C50"/>
    <w:rsid w:val="00021503"/>
    <w:rsid w:val="00021B5B"/>
    <w:rsid w:val="00021D3F"/>
    <w:rsid w:val="00021FF8"/>
    <w:rsid w:val="00022274"/>
    <w:rsid w:val="000223FB"/>
    <w:rsid w:val="000228D1"/>
    <w:rsid w:val="000230DF"/>
    <w:rsid w:val="000232FC"/>
    <w:rsid w:val="0002337F"/>
    <w:rsid w:val="0002350A"/>
    <w:rsid w:val="00023589"/>
    <w:rsid w:val="00024190"/>
    <w:rsid w:val="0002483A"/>
    <w:rsid w:val="00024C1B"/>
    <w:rsid w:val="00024CD2"/>
    <w:rsid w:val="00024CFE"/>
    <w:rsid w:val="00025235"/>
    <w:rsid w:val="00025298"/>
    <w:rsid w:val="00025308"/>
    <w:rsid w:val="00025A22"/>
    <w:rsid w:val="00025AA5"/>
    <w:rsid w:val="000263D5"/>
    <w:rsid w:val="000264C3"/>
    <w:rsid w:val="00026543"/>
    <w:rsid w:val="0002677A"/>
    <w:rsid w:val="00026A5D"/>
    <w:rsid w:val="00026DA2"/>
    <w:rsid w:val="00027218"/>
    <w:rsid w:val="00027362"/>
    <w:rsid w:val="0002746E"/>
    <w:rsid w:val="0002771A"/>
    <w:rsid w:val="00027BBD"/>
    <w:rsid w:val="00030207"/>
    <w:rsid w:val="00030A09"/>
    <w:rsid w:val="00030BB1"/>
    <w:rsid w:val="00030E70"/>
    <w:rsid w:val="00030F71"/>
    <w:rsid w:val="000310B3"/>
    <w:rsid w:val="00031611"/>
    <w:rsid w:val="00031757"/>
    <w:rsid w:val="00031868"/>
    <w:rsid w:val="0003193D"/>
    <w:rsid w:val="000319F9"/>
    <w:rsid w:val="00032139"/>
    <w:rsid w:val="00032E80"/>
    <w:rsid w:val="00032E8B"/>
    <w:rsid w:val="00033B44"/>
    <w:rsid w:val="00033DFD"/>
    <w:rsid w:val="000340C5"/>
    <w:rsid w:val="0003449F"/>
    <w:rsid w:val="0003458D"/>
    <w:rsid w:val="00034816"/>
    <w:rsid w:val="00034A01"/>
    <w:rsid w:val="00034B8A"/>
    <w:rsid w:val="00034C74"/>
    <w:rsid w:val="00034EBA"/>
    <w:rsid w:val="00034FFA"/>
    <w:rsid w:val="000353EF"/>
    <w:rsid w:val="000356B0"/>
    <w:rsid w:val="0003577D"/>
    <w:rsid w:val="00036853"/>
    <w:rsid w:val="00036AC0"/>
    <w:rsid w:val="00037136"/>
    <w:rsid w:val="00037359"/>
    <w:rsid w:val="000375F5"/>
    <w:rsid w:val="00037924"/>
    <w:rsid w:val="00037C02"/>
    <w:rsid w:val="00037D73"/>
    <w:rsid w:val="00037DDD"/>
    <w:rsid w:val="00040229"/>
    <w:rsid w:val="0004030C"/>
    <w:rsid w:val="000403E1"/>
    <w:rsid w:val="000409A6"/>
    <w:rsid w:val="00040ACE"/>
    <w:rsid w:val="00040ADA"/>
    <w:rsid w:val="00041250"/>
    <w:rsid w:val="000414F3"/>
    <w:rsid w:val="00041635"/>
    <w:rsid w:val="00041936"/>
    <w:rsid w:val="00041DC4"/>
    <w:rsid w:val="00042627"/>
    <w:rsid w:val="00042666"/>
    <w:rsid w:val="00042A1D"/>
    <w:rsid w:val="00042A95"/>
    <w:rsid w:val="00042AAC"/>
    <w:rsid w:val="00042B8E"/>
    <w:rsid w:val="00042E60"/>
    <w:rsid w:val="00042ED9"/>
    <w:rsid w:val="00042F70"/>
    <w:rsid w:val="000438C5"/>
    <w:rsid w:val="000444E4"/>
    <w:rsid w:val="00044785"/>
    <w:rsid w:val="000455F8"/>
    <w:rsid w:val="00045AB6"/>
    <w:rsid w:val="000462DB"/>
    <w:rsid w:val="0004664D"/>
    <w:rsid w:val="00046868"/>
    <w:rsid w:val="00046E86"/>
    <w:rsid w:val="00046F69"/>
    <w:rsid w:val="000471F8"/>
    <w:rsid w:val="00047410"/>
    <w:rsid w:val="0004762C"/>
    <w:rsid w:val="0004781E"/>
    <w:rsid w:val="000500F5"/>
    <w:rsid w:val="00050295"/>
    <w:rsid w:val="0005042C"/>
    <w:rsid w:val="00050888"/>
    <w:rsid w:val="00050D1D"/>
    <w:rsid w:val="000515C5"/>
    <w:rsid w:val="000516D6"/>
    <w:rsid w:val="00051830"/>
    <w:rsid w:val="00051E77"/>
    <w:rsid w:val="00052294"/>
    <w:rsid w:val="000522E4"/>
    <w:rsid w:val="00052570"/>
    <w:rsid w:val="00052C99"/>
    <w:rsid w:val="00053094"/>
    <w:rsid w:val="00054129"/>
    <w:rsid w:val="00054149"/>
    <w:rsid w:val="000541BF"/>
    <w:rsid w:val="000543BD"/>
    <w:rsid w:val="00054469"/>
    <w:rsid w:val="000544E3"/>
    <w:rsid w:val="00054C2E"/>
    <w:rsid w:val="00054CC3"/>
    <w:rsid w:val="000552D3"/>
    <w:rsid w:val="0005531C"/>
    <w:rsid w:val="000555C7"/>
    <w:rsid w:val="00055688"/>
    <w:rsid w:val="000557EC"/>
    <w:rsid w:val="000557EF"/>
    <w:rsid w:val="00055A68"/>
    <w:rsid w:val="00055D9C"/>
    <w:rsid w:val="00055F39"/>
    <w:rsid w:val="00055FA8"/>
    <w:rsid w:val="000561B0"/>
    <w:rsid w:val="000568AF"/>
    <w:rsid w:val="00057321"/>
    <w:rsid w:val="00057A6C"/>
    <w:rsid w:val="00057ECD"/>
    <w:rsid w:val="00060495"/>
    <w:rsid w:val="00060CD7"/>
    <w:rsid w:val="00060E01"/>
    <w:rsid w:val="000610C6"/>
    <w:rsid w:val="0006112B"/>
    <w:rsid w:val="00061938"/>
    <w:rsid w:val="00061C3E"/>
    <w:rsid w:val="00062729"/>
    <w:rsid w:val="00062AF4"/>
    <w:rsid w:val="00062F96"/>
    <w:rsid w:val="000636B1"/>
    <w:rsid w:val="00063F4C"/>
    <w:rsid w:val="00063F56"/>
    <w:rsid w:val="00063F9E"/>
    <w:rsid w:val="00063FC1"/>
    <w:rsid w:val="0006484C"/>
    <w:rsid w:val="00064A70"/>
    <w:rsid w:val="00064B75"/>
    <w:rsid w:val="00065349"/>
    <w:rsid w:val="0006537A"/>
    <w:rsid w:val="0006544F"/>
    <w:rsid w:val="000666FD"/>
    <w:rsid w:val="00066F10"/>
    <w:rsid w:val="00067737"/>
    <w:rsid w:val="00067AFE"/>
    <w:rsid w:val="00067C5F"/>
    <w:rsid w:val="00070304"/>
    <w:rsid w:val="00070469"/>
    <w:rsid w:val="0007076F"/>
    <w:rsid w:val="000707B5"/>
    <w:rsid w:val="000707C6"/>
    <w:rsid w:val="00070CC9"/>
    <w:rsid w:val="0007102E"/>
    <w:rsid w:val="000714BC"/>
    <w:rsid w:val="00071560"/>
    <w:rsid w:val="00071597"/>
    <w:rsid w:val="0007175C"/>
    <w:rsid w:val="00071D99"/>
    <w:rsid w:val="0007218C"/>
    <w:rsid w:val="00072427"/>
    <w:rsid w:val="000726B5"/>
    <w:rsid w:val="000728C9"/>
    <w:rsid w:val="000728D8"/>
    <w:rsid w:val="00072C32"/>
    <w:rsid w:val="00072E5D"/>
    <w:rsid w:val="00072EB3"/>
    <w:rsid w:val="00072EE7"/>
    <w:rsid w:val="00072FCC"/>
    <w:rsid w:val="0007344C"/>
    <w:rsid w:val="0007382A"/>
    <w:rsid w:val="00073A1A"/>
    <w:rsid w:val="00074147"/>
    <w:rsid w:val="0007431A"/>
    <w:rsid w:val="0007453D"/>
    <w:rsid w:val="0007460D"/>
    <w:rsid w:val="00074898"/>
    <w:rsid w:val="00074BAC"/>
    <w:rsid w:val="000750C7"/>
    <w:rsid w:val="000754D7"/>
    <w:rsid w:val="00075650"/>
    <w:rsid w:val="000758EC"/>
    <w:rsid w:val="0007631D"/>
    <w:rsid w:val="00076B21"/>
    <w:rsid w:val="00076B78"/>
    <w:rsid w:val="00077266"/>
    <w:rsid w:val="000775C2"/>
    <w:rsid w:val="0007793D"/>
    <w:rsid w:val="000779E0"/>
    <w:rsid w:val="00077A8C"/>
    <w:rsid w:val="00077B66"/>
    <w:rsid w:val="000800E2"/>
    <w:rsid w:val="00080178"/>
    <w:rsid w:val="000802BC"/>
    <w:rsid w:val="000803AD"/>
    <w:rsid w:val="000805E1"/>
    <w:rsid w:val="00080654"/>
    <w:rsid w:val="00080774"/>
    <w:rsid w:val="000807E1"/>
    <w:rsid w:val="00080D14"/>
    <w:rsid w:val="000810BB"/>
    <w:rsid w:val="000810EC"/>
    <w:rsid w:val="00081111"/>
    <w:rsid w:val="0008111D"/>
    <w:rsid w:val="0008125E"/>
    <w:rsid w:val="00081392"/>
    <w:rsid w:val="0008190F"/>
    <w:rsid w:val="0008191F"/>
    <w:rsid w:val="00081AB3"/>
    <w:rsid w:val="00083833"/>
    <w:rsid w:val="00083FD7"/>
    <w:rsid w:val="0008423F"/>
    <w:rsid w:val="000844DC"/>
    <w:rsid w:val="00084BCA"/>
    <w:rsid w:val="00084C41"/>
    <w:rsid w:val="000851F5"/>
    <w:rsid w:val="000858A7"/>
    <w:rsid w:val="00085DA5"/>
    <w:rsid w:val="00085DEC"/>
    <w:rsid w:val="000860C1"/>
    <w:rsid w:val="00086292"/>
    <w:rsid w:val="000862CE"/>
    <w:rsid w:val="0008687A"/>
    <w:rsid w:val="00086AD4"/>
    <w:rsid w:val="00086ED8"/>
    <w:rsid w:val="0008739F"/>
    <w:rsid w:val="0008747D"/>
    <w:rsid w:val="000902B1"/>
    <w:rsid w:val="00090B31"/>
    <w:rsid w:val="00091354"/>
    <w:rsid w:val="00091571"/>
    <w:rsid w:val="00091976"/>
    <w:rsid w:val="0009288E"/>
    <w:rsid w:val="00092E1D"/>
    <w:rsid w:val="00093077"/>
    <w:rsid w:val="000933FF"/>
    <w:rsid w:val="00093549"/>
    <w:rsid w:val="0009366B"/>
    <w:rsid w:val="00093904"/>
    <w:rsid w:val="00093AC1"/>
    <w:rsid w:val="00093EC3"/>
    <w:rsid w:val="000943BB"/>
    <w:rsid w:val="00094D4A"/>
    <w:rsid w:val="000953E0"/>
    <w:rsid w:val="0009581B"/>
    <w:rsid w:val="00095907"/>
    <w:rsid w:val="000959AC"/>
    <w:rsid w:val="00095E38"/>
    <w:rsid w:val="00096224"/>
    <w:rsid w:val="00096517"/>
    <w:rsid w:val="00096940"/>
    <w:rsid w:val="00096CBE"/>
    <w:rsid w:val="00096E16"/>
    <w:rsid w:val="00097274"/>
    <w:rsid w:val="00097690"/>
    <w:rsid w:val="0009779D"/>
    <w:rsid w:val="000A07DA"/>
    <w:rsid w:val="000A0A56"/>
    <w:rsid w:val="000A0FA7"/>
    <w:rsid w:val="000A11A6"/>
    <w:rsid w:val="000A1333"/>
    <w:rsid w:val="000A16EB"/>
    <w:rsid w:val="000A182F"/>
    <w:rsid w:val="000A2254"/>
    <w:rsid w:val="000A27E3"/>
    <w:rsid w:val="000A2A2B"/>
    <w:rsid w:val="000A2FD2"/>
    <w:rsid w:val="000A3643"/>
    <w:rsid w:val="000A3B6C"/>
    <w:rsid w:val="000A3C1A"/>
    <w:rsid w:val="000A408D"/>
    <w:rsid w:val="000A4207"/>
    <w:rsid w:val="000A437A"/>
    <w:rsid w:val="000A4626"/>
    <w:rsid w:val="000A468B"/>
    <w:rsid w:val="000A4741"/>
    <w:rsid w:val="000A4D59"/>
    <w:rsid w:val="000A4E1A"/>
    <w:rsid w:val="000A52DB"/>
    <w:rsid w:val="000A5884"/>
    <w:rsid w:val="000A589B"/>
    <w:rsid w:val="000A58E3"/>
    <w:rsid w:val="000A620B"/>
    <w:rsid w:val="000A627D"/>
    <w:rsid w:val="000A64AC"/>
    <w:rsid w:val="000A657C"/>
    <w:rsid w:val="000A6963"/>
    <w:rsid w:val="000A6AE8"/>
    <w:rsid w:val="000A6EB6"/>
    <w:rsid w:val="000A722A"/>
    <w:rsid w:val="000A72A4"/>
    <w:rsid w:val="000A7867"/>
    <w:rsid w:val="000A7D82"/>
    <w:rsid w:val="000B004A"/>
    <w:rsid w:val="000B0177"/>
    <w:rsid w:val="000B0873"/>
    <w:rsid w:val="000B09B6"/>
    <w:rsid w:val="000B0C2F"/>
    <w:rsid w:val="000B0CEF"/>
    <w:rsid w:val="000B1645"/>
    <w:rsid w:val="000B1F26"/>
    <w:rsid w:val="000B1F2F"/>
    <w:rsid w:val="000B21D6"/>
    <w:rsid w:val="000B26EB"/>
    <w:rsid w:val="000B2B44"/>
    <w:rsid w:val="000B2C02"/>
    <w:rsid w:val="000B2DD5"/>
    <w:rsid w:val="000B3042"/>
    <w:rsid w:val="000B368A"/>
    <w:rsid w:val="000B375E"/>
    <w:rsid w:val="000B37A6"/>
    <w:rsid w:val="000B3B7C"/>
    <w:rsid w:val="000B3C6B"/>
    <w:rsid w:val="000B3ED5"/>
    <w:rsid w:val="000B4370"/>
    <w:rsid w:val="000B4624"/>
    <w:rsid w:val="000B4643"/>
    <w:rsid w:val="000B4701"/>
    <w:rsid w:val="000B47F3"/>
    <w:rsid w:val="000B4A9D"/>
    <w:rsid w:val="000B53FD"/>
    <w:rsid w:val="000B58C6"/>
    <w:rsid w:val="000B59CA"/>
    <w:rsid w:val="000B5BFC"/>
    <w:rsid w:val="000B5C27"/>
    <w:rsid w:val="000B5C86"/>
    <w:rsid w:val="000B5D94"/>
    <w:rsid w:val="000B5FFC"/>
    <w:rsid w:val="000B6336"/>
    <w:rsid w:val="000B6741"/>
    <w:rsid w:val="000B74B4"/>
    <w:rsid w:val="000B7741"/>
    <w:rsid w:val="000B7D13"/>
    <w:rsid w:val="000C006F"/>
    <w:rsid w:val="000C0127"/>
    <w:rsid w:val="000C0523"/>
    <w:rsid w:val="000C061F"/>
    <w:rsid w:val="000C0E8A"/>
    <w:rsid w:val="000C0F1E"/>
    <w:rsid w:val="000C13CB"/>
    <w:rsid w:val="000C14AB"/>
    <w:rsid w:val="000C14F7"/>
    <w:rsid w:val="000C1831"/>
    <w:rsid w:val="000C1C5D"/>
    <w:rsid w:val="000C1C98"/>
    <w:rsid w:val="000C1DE1"/>
    <w:rsid w:val="000C1F1A"/>
    <w:rsid w:val="000C2206"/>
    <w:rsid w:val="000C2297"/>
    <w:rsid w:val="000C232E"/>
    <w:rsid w:val="000C29C1"/>
    <w:rsid w:val="000C2ACB"/>
    <w:rsid w:val="000C3041"/>
    <w:rsid w:val="000C306A"/>
    <w:rsid w:val="000C3180"/>
    <w:rsid w:val="000C329B"/>
    <w:rsid w:val="000C3C71"/>
    <w:rsid w:val="000C3CD8"/>
    <w:rsid w:val="000C3CFD"/>
    <w:rsid w:val="000C3DD6"/>
    <w:rsid w:val="000C41BA"/>
    <w:rsid w:val="000C45C0"/>
    <w:rsid w:val="000C46E3"/>
    <w:rsid w:val="000C47E6"/>
    <w:rsid w:val="000C4AB2"/>
    <w:rsid w:val="000C507B"/>
    <w:rsid w:val="000C5264"/>
    <w:rsid w:val="000C5815"/>
    <w:rsid w:val="000C5C84"/>
    <w:rsid w:val="000C5E1A"/>
    <w:rsid w:val="000C6336"/>
    <w:rsid w:val="000C654D"/>
    <w:rsid w:val="000C65D6"/>
    <w:rsid w:val="000C6B8C"/>
    <w:rsid w:val="000C6C49"/>
    <w:rsid w:val="000C6D73"/>
    <w:rsid w:val="000C6EF6"/>
    <w:rsid w:val="000C7327"/>
    <w:rsid w:val="000C7365"/>
    <w:rsid w:val="000C7645"/>
    <w:rsid w:val="000D03B1"/>
    <w:rsid w:val="000D0492"/>
    <w:rsid w:val="000D0583"/>
    <w:rsid w:val="000D13DC"/>
    <w:rsid w:val="000D1CE1"/>
    <w:rsid w:val="000D1F36"/>
    <w:rsid w:val="000D2059"/>
    <w:rsid w:val="000D22B2"/>
    <w:rsid w:val="000D2846"/>
    <w:rsid w:val="000D287A"/>
    <w:rsid w:val="000D29F5"/>
    <w:rsid w:val="000D2B2A"/>
    <w:rsid w:val="000D2BE3"/>
    <w:rsid w:val="000D2F2D"/>
    <w:rsid w:val="000D3413"/>
    <w:rsid w:val="000D3FF0"/>
    <w:rsid w:val="000D42D4"/>
    <w:rsid w:val="000D46E5"/>
    <w:rsid w:val="000D4C0C"/>
    <w:rsid w:val="000D51F7"/>
    <w:rsid w:val="000D5337"/>
    <w:rsid w:val="000D549D"/>
    <w:rsid w:val="000D54BC"/>
    <w:rsid w:val="000D59F8"/>
    <w:rsid w:val="000D5B52"/>
    <w:rsid w:val="000D6023"/>
    <w:rsid w:val="000D6085"/>
    <w:rsid w:val="000D6407"/>
    <w:rsid w:val="000D6DF6"/>
    <w:rsid w:val="000D7B32"/>
    <w:rsid w:val="000E05E0"/>
    <w:rsid w:val="000E0984"/>
    <w:rsid w:val="000E0BE6"/>
    <w:rsid w:val="000E0C76"/>
    <w:rsid w:val="000E0E30"/>
    <w:rsid w:val="000E132D"/>
    <w:rsid w:val="000E148E"/>
    <w:rsid w:val="000E150E"/>
    <w:rsid w:val="000E1A6F"/>
    <w:rsid w:val="000E1BFF"/>
    <w:rsid w:val="000E1C5F"/>
    <w:rsid w:val="000E1DC3"/>
    <w:rsid w:val="000E21C9"/>
    <w:rsid w:val="000E251A"/>
    <w:rsid w:val="000E3367"/>
    <w:rsid w:val="000E350F"/>
    <w:rsid w:val="000E4968"/>
    <w:rsid w:val="000E4E8F"/>
    <w:rsid w:val="000E5106"/>
    <w:rsid w:val="000E5631"/>
    <w:rsid w:val="000E5672"/>
    <w:rsid w:val="000E5889"/>
    <w:rsid w:val="000E58BE"/>
    <w:rsid w:val="000E5EC2"/>
    <w:rsid w:val="000E61B7"/>
    <w:rsid w:val="000E6227"/>
    <w:rsid w:val="000E67C9"/>
    <w:rsid w:val="000E7814"/>
    <w:rsid w:val="000E78FC"/>
    <w:rsid w:val="000E7F0E"/>
    <w:rsid w:val="000F0461"/>
    <w:rsid w:val="000F0707"/>
    <w:rsid w:val="000F07C6"/>
    <w:rsid w:val="000F1033"/>
    <w:rsid w:val="000F10F0"/>
    <w:rsid w:val="000F12DA"/>
    <w:rsid w:val="000F1518"/>
    <w:rsid w:val="000F1DBA"/>
    <w:rsid w:val="000F1E4B"/>
    <w:rsid w:val="000F2220"/>
    <w:rsid w:val="000F226A"/>
    <w:rsid w:val="000F29B4"/>
    <w:rsid w:val="000F2A02"/>
    <w:rsid w:val="000F2B93"/>
    <w:rsid w:val="000F2CB5"/>
    <w:rsid w:val="000F32E6"/>
    <w:rsid w:val="000F3682"/>
    <w:rsid w:val="000F3CBF"/>
    <w:rsid w:val="000F3CC1"/>
    <w:rsid w:val="000F3D33"/>
    <w:rsid w:val="000F425A"/>
    <w:rsid w:val="000F488F"/>
    <w:rsid w:val="000F4959"/>
    <w:rsid w:val="000F4FD5"/>
    <w:rsid w:val="000F56F0"/>
    <w:rsid w:val="000F5BE9"/>
    <w:rsid w:val="000F5C43"/>
    <w:rsid w:val="000F6086"/>
    <w:rsid w:val="000F62A0"/>
    <w:rsid w:val="000F6427"/>
    <w:rsid w:val="000F678D"/>
    <w:rsid w:val="000F67A5"/>
    <w:rsid w:val="000F67D2"/>
    <w:rsid w:val="000F692F"/>
    <w:rsid w:val="000F69F9"/>
    <w:rsid w:val="000F6AC6"/>
    <w:rsid w:val="000F71D4"/>
    <w:rsid w:val="000F7DAA"/>
    <w:rsid w:val="000F7DE9"/>
    <w:rsid w:val="000F7E37"/>
    <w:rsid w:val="00100267"/>
    <w:rsid w:val="0010100F"/>
    <w:rsid w:val="001013C1"/>
    <w:rsid w:val="001015D4"/>
    <w:rsid w:val="00101826"/>
    <w:rsid w:val="00101DCD"/>
    <w:rsid w:val="00102333"/>
    <w:rsid w:val="00102AFE"/>
    <w:rsid w:val="00102BDF"/>
    <w:rsid w:val="001032FC"/>
    <w:rsid w:val="00103348"/>
    <w:rsid w:val="00103405"/>
    <w:rsid w:val="00103645"/>
    <w:rsid w:val="00103D74"/>
    <w:rsid w:val="0010435E"/>
    <w:rsid w:val="001046D0"/>
    <w:rsid w:val="00105238"/>
    <w:rsid w:val="001053A3"/>
    <w:rsid w:val="001057C7"/>
    <w:rsid w:val="00105855"/>
    <w:rsid w:val="00105B17"/>
    <w:rsid w:val="00105BD3"/>
    <w:rsid w:val="00105D7C"/>
    <w:rsid w:val="00105F5D"/>
    <w:rsid w:val="001066AD"/>
    <w:rsid w:val="00106AC5"/>
    <w:rsid w:val="001073F4"/>
    <w:rsid w:val="001078B6"/>
    <w:rsid w:val="00107948"/>
    <w:rsid w:val="00107967"/>
    <w:rsid w:val="00107C0A"/>
    <w:rsid w:val="001100E6"/>
    <w:rsid w:val="00110E88"/>
    <w:rsid w:val="00111728"/>
    <w:rsid w:val="00111AB1"/>
    <w:rsid w:val="00111ED3"/>
    <w:rsid w:val="001120AE"/>
    <w:rsid w:val="0011229B"/>
    <w:rsid w:val="001122F9"/>
    <w:rsid w:val="00112751"/>
    <w:rsid w:val="0011289C"/>
    <w:rsid w:val="001129CC"/>
    <w:rsid w:val="00112ACE"/>
    <w:rsid w:val="00113015"/>
    <w:rsid w:val="001130F1"/>
    <w:rsid w:val="00113496"/>
    <w:rsid w:val="00113B02"/>
    <w:rsid w:val="001142F4"/>
    <w:rsid w:val="00114668"/>
    <w:rsid w:val="0011487D"/>
    <w:rsid w:val="00114EDD"/>
    <w:rsid w:val="0011552D"/>
    <w:rsid w:val="0011622A"/>
    <w:rsid w:val="0011665E"/>
    <w:rsid w:val="00116750"/>
    <w:rsid w:val="0011687D"/>
    <w:rsid w:val="00116FF4"/>
    <w:rsid w:val="00117197"/>
    <w:rsid w:val="0011787A"/>
    <w:rsid w:val="00117C43"/>
    <w:rsid w:val="00117E41"/>
    <w:rsid w:val="0012010D"/>
    <w:rsid w:val="0012026F"/>
    <w:rsid w:val="00120428"/>
    <w:rsid w:val="00120913"/>
    <w:rsid w:val="0012168D"/>
    <w:rsid w:val="001217C5"/>
    <w:rsid w:val="00121A29"/>
    <w:rsid w:val="00121C5F"/>
    <w:rsid w:val="001221A3"/>
    <w:rsid w:val="0012262C"/>
    <w:rsid w:val="00122A70"/>
    <w:rsid w:val="00122A8E"/>
    <w:rsid w:val="00122CF9"/>
    <w:rsid w:val="00122FC2"/>
    <w:rsid w:val="001231EA"/>
    <w:rsid w:val="001232D6"/>
    <w:rsid w:val="001248F5"/>
    <w:rsid w:val="00124E53"/>
    <w:rsid w:val="001254E9"/>
    <w:rsid w:val="00125F17"/>
    <w:rsid w:val="00126324"/>
    <w:rsid w:val="001272A5"/>
    <w:rsid w:val="0012771E"/>
    <w:rsid w:val="00127C32"/>
    <w:rsid w:val="00130188"/>
    <w:rsid w:val="00130C80"/>
    <w:rsid w:val="00130EE8"/>
    <w:rsid w:val="00131006"/>
    <w:rsid w:val="001311EA"/>
    <w:rsid w:val="0013126E"/>
    <w:rsid w:val="001312DC"/>
    <w:rsid w:val="00131959"/>
    <w:rsid w:val="00131F72"/>
    <w:rsid w:val="00132CDA"/>
    <w:rsid w:val="00132FBA"/>
    <w:rsid w:val="001332D4"/>
    <w:rsid w:val="00133509"/>
    <w:rsid w:val="00133BA1"/>
    <w:rsid w:val="00133C15"/>
    <w:rsid w:val="00133EB2"/>
    <w:rsid w:val="00134317"/>
    <w:rsid w:val="00134C9E"/>
    <w:rsid w:val="001350DE"/>
    <w:rsid w:val="001351AE"/>
    <w:rsid w:val="001357F8"/>
    <w:rsid w:val="00135A6B"/>
    <w:rsid w:val="00135F30"/>
    <w:rsid w:val="00136469"/>
    <w:rsid w:val="0013697F"/>
    <w:rsid w:val="00137005"/>
    <w:rsid w:val="00137064"/>
    <w:rsid w:val="00137EF3"/>
    <w:rsid w:val="001400D0"/>
    <w:rsid w:val="0014022D"/>
    <w:rsid w:val="00140354"/>
    <w:rsid w:val="001406F0"/>
    <w:rsid w:val="00140864"/>
    <w:rsid w:val="00140EB9"/>
    <w:rsid w:val="00140F7F"/>
    <w:rsid w:val="00140F89"/>
    <w:rsid w:val="00140FDA"/>
    <w:rsid w:val="001411A1"/>
    <w:rsid w:val="001413FF"/>
    <w:rsid w:val="00141697"/>
    <w:rsid w:val="0014198F"/>
    <w:rsid w:val="00141E37"/>
    <w:rsid w:val="00141E9F"/>
    <w:rsid w:val="0014253D"/>
    <w:rsid w:val="00142597"/>
    <w:rsid w:val="001429C2"/>
    <w:rsid w:val="00143365"/>
    <w:rsid w:val="00143F80"/>
    <w:rsid w:val="001440DE"/>
    <w:rsid w:val="001448BE"/>
    <w:rsid w:val="00144D30"/>
    <w:rsid w:val="00144E30"/>
    <w:rsid w:val="001452DE"/>
    <w:rsid w:val="0014572E"/>
    <w:rsid w:val="001457BB"/>
    <w:rsid w:val="001461A5"/>
    <w:rsid w:val="001461C7"/>
    <w:rsid w:val="00146E74"/>
    <w:rsid w:val="00146EBE"/>
    <w:rsid w:val="0014702D"/>
    <w:rsid w:val="001473FF"/>
    <w:rsid w:val="00147A93"/>
    <w:rsid w:val="00147DAB"/>
    <w:rsid w:val="001500EC"/>
    <w:rsid w:val="001505D0"/>
    <w:rsid w:val="001507B1"/>
    <w:rsid w:val="0015108B"/>
    <w:rsid w:val="001511CE"/>
    <w:rsid w:val="0015122B"/>
    <w:rsid w:val="001516A0"/>
    <w:rsid w:val="00151738"/>
    <w:rsid w:val="0015192C"/>
    <w:rsid w:val="00151D43"/>
    <w:rsid w:val="00151DBF"/>
    <w:rsid w:val="00152121"/>
    <w:rsid w:val="00152192"/>
    <w:rsid w:val="0015249C"/>
    <w:rsid w:val="00152630"/>
    <w:rsid w:val="0015280D"/>
    <w:rsid w:val="00152A1A"/>
    <w:rsid w:val="0015348E"/>
    <w:rsid w:val="00153608"/>
    <w:rsid w:val="00153F68"/>
    <w:rsid w:val="001541B2"/>
    <w:rsid w:val="001550CF"/>
    <w:rsid w:val="001553A0"/>
    <w:rsid w:val="001554BD"/>
    <w:rsid w:val="00155D7B"/>
    <w:rsid w:val="00156242"/>
    <w:rsid w:val="00156537"/>
    <w:rsid w:val="00156550"/>
    <w:rsid w:val="00156626"/>
    <w:rsid w:val="001567F3"/>
    <w:rsid w:val="00156F83"/>
    <w:rsid w:val="001573FE"/>
    <w:rsid w:val="001574B5"/>
    <w:rsid w:val="0015753F"/>
    <w:rsid w:val="0015771A"/>
    <w:rsid w:val="001579C3"/>
    <w:rsid w:val="00160417"/>
    <w:rsid w:val="001607ED"/>
    <w:rsid w:val="00160F5B"/>
    <w:rsid w:val="00161430"/>
    <w:rsid w:val="001614FB"/>
    <w:rsid w:val="00161666"/>
    <w:rsid w:val="00161790"/>
    <w:rsid w:val="00161C8A"/>
    <w:rsid w:val="00161FC2"/>
    <w:rsid w:val="001621F1"/>
    <w:rsid w:val="0016246F"/>
    <w:rsid w:val="0016264B"/>
    <w:rsid w:val="0016275C"/>
    <w:rsid w:val="00162BE5"/>
    <w:rsid w:val="0016357C"/>
    <w:rsid w:val="00164124"/>
    <w:rsid w:val="00164444"/>
    <w:rsid w:val="00164F25"/>
    <w:rsid w:val="001657B8"/>
    <w:rsid w:val="00165E08"/>
    <w:rsid w:val="0016606C"/>
    <w:rsid w:val="0016676A"/>
    <w:rsid w:val="00166E32"/>
    <w:rsid w:val="001673A6"/>
    <w:rsid w:val="001674EF"/>
    <w:rsid w:val="0016798F"/>
    <w:rsid w:val="00167D68"/>
    <w:rsid w:val="00167DC3"/>
    <w:rsid w:val="00167E14"/>
    <w:rsid w:val="001704EE"/>
    <w:rsid w:val="001706D0"/>
    <w:rsid w:val="00170745"/>
    <w:rsid w:val="00170E1D"/>
    <w:rsid w:val="00170E1F"/>
    <w:rsid w:val="00170E5D"/>
    <w:rsid w:val="001713B5"/>
    <w:rsid w:val="001715A2"/>
    <w:rsid w:val="001717D3"/>
    <w:rsid w:val="00171922"/>
    <w:rsid w:val="00172463"/>
    <w:rsid w:val="00174225"/>
    <w:rsid w:val="00174376"/>
    <w:rsid w:val="001744C2"/>
    <w:rsid w:val="00174873"/>
    <w:rsid w:val="00174E67"/>
    <w:rsid w:val="001751B0"/>
    <w:rsid w:val="001751D3"/>
    <w:rsid w:val="001752D0"/>
    <w:rsid w:val="00175308"/>
    <w:rsid w:val="00175499"/>
    <w:rsid w:val="0017588B"/>
    <w:rsid w:val="00175916"/>
    <w:rsid w:val="00175D02"/>
    <w:rsid w:val="00175D86"/>
    <w:rsid w:val="0017644D"/>
    <w:rsid w:val="00176B72"/>
    <w:rsid w:val="00176D97"/>
    <w:rsid w:val="00177306"/>
    <w:rsid w:val="0017733D"/>
    <w:rsid w:val="001778DB"/>
    <w:rsid w:val="00177C30"/>
    <w:rsid w:val="00177FD9"/>
    <w:rsid w:val="00180392"/>
    <w:rsid w:val="001803F4"/>
    <w:rsid w:val="0018071B"/>
    <w:rsid w:val="00180D22"/>
    <w:rsid w:val="0018140F"/>
    <w:rsid w:val="001816A4"/>
    <w:rsid w:val="0018214D"/>
    <w:rsid w:val="0018237D"/>
    <w:rsid w:val="00182C09"/>
    <w:rsid w:val="00182C45"/>
    <w:rsid w:val="00182D8A"/>
    <w:rsid w:val="00182EE0"/>
    <w:rsid w:val="00182FA4"/>
    <w:rsid w:val="00183202"/>
    <w:rsid w:val="00183327"/>
    <w:rsid w:val="001833B2"/>
    <w:rsid w:val="00183A0F"/>
    <w:rsid w:val="00183A74"/>
    <w:rsid w:val="00183C9E"/>
    <w:rsid w:val="00183DD9"/>
    <w:rsid w:val="00184415"/>
    <w:rsid w:val="00184C41"/>
    <w:rsid w:val="00185992"/>
    <w:rsid w:val="00185BCF"/>
    <w:rsid w:val="0018795B"/>
    <w:rsid w:val="00190176"/>
    <w:rsid w:val="001902B0"/>
    <w:rsid w:val="001903BA"/>
    <w:rsid w:val="0019048D"/>
    <w:rsid w:val="00190639"/>
    <w:rsid w:val="001906A9"/>
    <w:rsid w:val="00190805"/>
    <w:rsid w:val="00190824"/>
    <w:rsid w:val="001912DE"/>
    <w:rsid w:val="001914FB"/>
    <w:rsid w:val="001915CA"/>
    <w:rsid w:val="001919E9"/>
    <w:rsid w:val="00191D54"/>
    <w:rsid w:val="00191DC7"/>
    <w:rsid w:val="00191F42"/>
    <w:rsid w:val="0019222E"/>
    <w:rsid w:val="00192612"/>
    <w:rsid w:val="00192D69"/>
    <w:rsid w:val="00192F67"/>
    <w:rsid w:val="00193142"/>
    <w:rsid w:val="00193173"/>
    <w:rsid w:val="00193715"/>
    <w:rsid w:val="00193B26"/>
    <w:rsid w:val="00193BDC"/>
    <w:rsid w:val="00193F54"/>
    <w:rsid w:val="00194105"/>
    <w:rsid w:val="00194D6A"/>
    <w:rsid w:val="00194E5D"/>
    <w:rsid w:val="00195719"/>
    <w:rsid w:val="00196398"/>
    <w:rsid w:val="00196728"/>
    <w:rsid w:val="00197240"/>
    <w:rsid w:val="00197877"/>
    <w:rsid w:val="001A03BC"/>
    <w:rsid w:val="001A05E0"/>
    <w:rsid w:val="001A0727"/>
    <w:rsid w:val="001A1344"/>
    <w:rsid w:val="001A17AF"/>
    <w:rsid w:val="001A19D1"/>
    <w:rsid w:val="001A19D2"/>
    <w:rsid w:val="001A1B8B"/>
    <w:rsid w:val="001A1C07"/>
    <w:rsid w:val="001A1C3E"/>
    <w:rsid w:val="001A1D2C"/>
    <w:rsid w:val="001A211C"/>
    <w:rsid w:val="001A2586"/>
    <w:rsid w:val="001A2A3E"/>
    <w:rsid w:val="001A2A56"/>
    <w:rsid w:val="001A2B4F"/>
    <w:rsid w:val="001A2C4E"/>
    <w:rsid w:val="001A35DF"/>
    <w:rsid w:val="001A39AF"/>
    <w:rsid w:val="001A3B54"/>
    <w:rsid w:val="001A3E84"/>
    <w:rsid w:val="001A3F3A"/>
    <w:rsid w:val="001A45A0"/>
    <w:rsid w:val="001A4816"/>
    <w:rsid w:val="001A4E32"/>
    <w:rsid w:val="001A544A"/>
    <w:rsid w:val="001A5526"/>
    <w:rsid w:val="001A65FE"/>
    <w:rsid w:val="001A6893"/>
    <w:rsid w:val="001A6A45"/>
    <w:rsid w:val="001A6AE7"/>
    <w:rsid w:val="001A6D55"/>
    <w:rsid w:val="001A70BC"/>
    <w:rsid w:val="001A7186"/>
    <w:rsid w:val="001A7306"/>
    <w:rsid w:val="001A75D6"/>
    <w:rsid w:val="001A7971"/>
    <w:rsid w:val="001A7C4B"/>
    <w:rsid w:val="001A7F52"/>
    <w:rsid w:val="001A7FB2"/>
    <w:rsid w:val="001B0153"/>
    <w:rsid w:val="001B02B6"/>
    <w:rsid w:val="001B0CC7"/>
    <w:rsid w:val="001B1001"/>
    <w:rsid w:val="001B1224"/>
    <w:rsid w:val="001B19A4"/>
    <w:rsid w:val="001B1B39"/>
    <w:rsid w:val="001B1E9C"/>
    <w:rsid w:val="001B2314"/>
    <w:rsid w:val="001B23CE"/>
    <w:rsid w:val="001B269A"/>
    <w:rsid w:val="001B288C"/>
    <w:rsid w:val="001B2896"/>
    <w:rsid w:val="001B2AD5"/>
    <w:rsid w:val="001B2BAF"/>
    <w:rsid w:val="001B2D5D"/>
    <w:rsid w:val="001B3386"/>
    <w:rsid w:val="001B359C"/>
    <w:rsid w:val="001B39D2"/>
    <w:rsid w:val="001B42D3"/>
    <w:rsid w:val="001B45C6"/>
    <w:rsid w:val="001B4687"/>
    <w:rsid w:val="001B4760"/>
    <w:rsid w:val="001B476B"/>
    <w:rsid w:val="001B4A28"/>
    <w:rsid w:val="001B5213"/>
    <w:rsid w:val="001B5602"/>
    <w:rsid w:val="001B5974"/>
    <w:rsid w:val="001B5A9B"/>
    <w:rsid w:val="001B5BA8"/>
    <w:rsid w:val="001B622D"/>
    <w:rsid w:val="001B6D3E"/>
    <w:rsid w:val="001B73E3"/>
    <w:rsid w:val="001B771E"/>
    <w:rsid w:val="001C074F"/>
    <w:rsid w:val="001C0892"/>
    <w:rsid w:val="001C1339"/>
    <w:rsid w:val="001C19DC"/>
    <w:rsid w:val="001C1DE6"/>
    <w:rsid w:val="001C239C"/>
    <w:rsid w:val="001C2631"/>
    <w:rsid w:val="001C27C3"/>
    <w:rsid w:val="001C2E15"/>
    <w:rsid w:val="001C36E7"/>
    <w:rsid w:val="001C4A0B"/>
    <w:rsid w:val="001C4B8B"/>
    <w:rsid w:val="001C4C0E"/>
    <w:rsid w:val="001C4C62"/>
    <w:rsid w:val="001C4F4C"/>
    <w:rsid w:val="001C52F7"/>
    <w:rsid w:val="001C533F"/>
    <w:rsid w:val="001C576F"/>
    <w:rsid w:val="001C5A42"/>
    <w:rsid w:val="001C5B13"/>
    <w:rsid w:val="001C5CB5"/>
    <w:rsid w:val="001C5D13"/>
    <w:rsid w:val="001C6397"/>
    <w:rsid w:val="001C660C"/>
    <w:rsid w:val="001C6710"/>
    <w:rsid w:val="001C68EF"/>
    <w:rsid w:val="001C697E"/>
    <w:rsid w:val="001C6EED"/>
    <w:rsid w:val="001C712E"/>
    <w:rsid w:val="001C7867"/>
    <w:rsid w:val="001D0156"/>
    <w:rsid w:val="001D055A"/>
    <w:rsid w:val="001D0620"/>
    <w:rsid w:val="001D088B"/>
    <w:rsid w:val="001D0CBF"/>
    <w:rsid w:val="001D0DA2"/>
    <w:rsid w:val="001D0E43"/>
    <w:rsid w:val="001D1934"/>
    <w:rsid w:val="001D2ED1"/>
    <w:rsid w:val="001D338E"/>
    <w:rsid w:val="001D352F"/>
    <w:rsid w:val="001D3781"/>
    <w:rsid w:val="001D382E"/>
    <w:rsid w:val="001D3877"/>
    <w:rsid w:val="001D3A5E"/>
    <w:rsid w:val="001D3BCB"/>
    <w:rsid w:val="001D459E"/>
    <w:rsid w:val="001D4707"/>
    <w:rsid w:val="001D4BD0"/>
    <w:rsid w:val="001D4CAB"/>
    <w:rsid w:val="001D5058"/>
    <w:rsid w:val="001D5067"/>
    <w:rsid w:val="001D5670"/>
    <w:rsid w:val="001D571D"/>
    <w:rsid w:val="001D5857"/>
    <w:rsid w:val="001D5A6F"/>
    <w:rsid w:val="001D5AC7"/>
    <w:rsid w:val="001D5D8D"/>
    <w:rsid w:val="001D63A5"/>
    <w:rsid w:val="001D6753"/>
    <w:rsid w:val="001D680D"/>
    <w:rsid w:val="001D6CA8"/>
    <w:rsid w:val="001D6FD9"/>
    <w:rsid w:val="001D72AD"/>
    <w:rsid w:val="001D7340"/>
    <w:rsid w:val="001D7357"/>
    <w:rsid w:val="001D7593"/>
    <w:rsid w:val="001D7A03"/>
    <w:rsid w:val="001D7B7E"/>
    <w:rsid w:val="001D7BCA"/>
    <w:rsid w:val="001D7D22"/>
    <w:rsid w:val="001E0308"/>
    <w:rsid w:val="001E0534"/>
    <w:rsid w:val="001E0685"/>
    <w:rsid w:val="001E06C9"/>
    <w:rsid w:val="001E08A2"/>
    <w:rsid w:val="001E1258"/>
    <w:rsid w:val="001E12F6"/>
    <w:rsid w:val="001E1C52"/>
    <w:rsid w:val="001E2107"/>
    <w:rsid w:val="001E223B"/>
    <w:rsid w:val="001E277B"/>
    <w:rsid w:val="001E28C4"/>
    <w:rsid w:val="001E2A46"/>
    <w:rsid w:val="001E2BB5"/>
    <w:rsid w:val="001E2C43"/>
    <w:rsid w:val="001E36DA"/>
    <w:rsid w:val="001E3931"/>
    <w:rsid w:val="001E4178"/>
    <w:rsid w:val="001E41D8"/>
    <w:rsid w:val="001E42FD"/>
    <w:rsid w:val="001E4301"/>
    <w:rsid w:val="001E4AAB"/>
    <w:rsid w:val="001E4ED5"/>
    <w:rsid w:val="001E5566"/>
    <w:rsid w:val="001E5670"/>
    <w:rsid w:val="001E5950"/>
    <w:rsid w:val="001E5966"/>
    <w:rsid w:val="001E6283"/>
    <w:rsid w:val="001E6731"/>
    <w:rsid w:val="001E67D6"/>
    <w:rsid w:val="001E6A28"/>
    <w:rsid w:val="001E6C3A"/>
    <w:rsid w:val="001E6C88"/>
    <w:rsid w:val="001E7162"/>
    <w:rsid w:val="001E79AC"/>
    <w:rsid w:val="001F0125"/>
    <w:rsid w:val="001F0135"/>
    <w:rsid w:val="001F074F"/>
    <w:rsid w:val="001F1053"/>
    <w:rsid w:val="001F15D1"/>
    <w:rsid w:val="001F1C44"/>
    <w:rsid w:val="001F1CB8"/>
    <w:rsid w:val="001F259C"/>
    <w:rsid w:val="001F2A25"/>
    <w:rsid w:val="001F2F55"/>
    <w:rsid w:val="001F3067"/>
    <w:rsid w:val="001F316F"/>
    <w:rsid w:val="001F3272"/>
    <w:rsid w:val="001F34E4"/>
    <w:rsid w:val="001F3B37"/>
    <w:rsid w:val="001F3B8C"/>
    <w:rsid w:val="001F3E97"/>
    <w:rsid w:val="001F3F0C"/>
    <w:rsid w:val="001F3F78"/>
    <w:rsid w:val="001F4658"/>
    <w:rsid w:val="001F494C"/>
    <w:rsid w:val="001F4B56"/>
    <w:rsid w:val="001F53F4"/>
    <w:rsid w:val="001F5502"/>
    <w:rsid w:val="001F562C"/>
    <w:rsid w:val="001F5A7E"/>
    <w:rsid w:val="001F5C22"/>
    <w:rsid w:val="001F5DFC"/>
    <w:rsid w:val="001F5EE0"/>
    <w:rsid w:val="001F5EE5"/>
    <w:rsid w:val="001F5F48"/>
    <w:rsid w:val="001F6397"/>
    <w:rsid w:val="001F65DE"/>
    <w:rsid w:val="001F673C"/>
    <w:rsid w:val="001F6D4E"/>
    <w:rsid w:val="001F6E4C"/>
    <w:rsid w:val="001F6FE4"/>
    <w:rsid w:val="001F72BC"/>
    <w:rsid w:val="001F7457"/>
    <w:rsid w:val="001F7A3B"/>
    <w:rsid w:val="001F7C3D"/>
    <w:rsid w:val="0020013F"/>
    <w:rsid w:val="00200319"/>
    <w:rsid w:val="00200656"/>
    <w:rsid w:val="0020077B"/>
    <w:rsid w:val="002008C2"/>
    <w:rsid w:val="00200B19"/>
    <w:rsid w:val="00200B6C"/>
    <w:rsid w:val="00200B7C"/>
    <w:rsid w:val="00200EAF"/>
    <w:rsid w:val="00200F42"/>
    <w:rsid w:val="0020112C"/>
    <w:rsid w:val="00201334"/>
    <w:rsid w:val="0020264F"/>
    <w:rsid w:val="002028DD"/>
    <w:rsid w:val="00202911"/>
    <w:rsid w:val="0020322E"/>
    <w:rsid w:val="002035B5"/>
    <w:rsid w:val="002037B3"/>
    <w:rsid w:val="0020391B"/>
    <w:rsid w:val="00203BA5"/>
    <w:rsid w:val="002041BF"/>
    <w:rsid w:val="00204ED4"/>
    <w:rsid w:val="0020505E"/>
    <w:rsid w:val="0020521C"/>
    <w:rsid w:val="0020532B"/>
    <w:rsid w:val="002054E4"/>
    <w:rsid w:val="00205BCD"/>
    <w:rsid w:val="00205C57"/>
    <w:rsid w:val="00206705"/>
    <w:rsid w:val="0020670E"/>
    <w:rsid w:val="0020686E"/>
    <w:rsid w:val="00206A8C"/>
    <w:rsid w:val="00206B67"/>
    <w:rsid w:val="00206C3B"/>
    <w:rsid w:val="002076C9"/>
    <w:rsid w:val="00207828"/>
    <w:rsid w:val="00207A34"/>
    <w:rsid w:val="00207C86"/>
    <w:rsid w:val="00207F67"/>
    <w:rsid w:val="00210449"/>
    <w:rsid w:val="002117DE"/>
    <w:rsid w:val="00211AF8"/>
    <w:rsid w:val="00211F5D"/>
    <w:rsid w:val="00211FAA"/>
    <w:rsid w:val="00211FD0"/>
    <w:rsid w:val="0021200D"/>
    <w:rsid w:val="0021268E"/>
    <w:rsid w:val="00212CE1"/>
    <w:rsid w:val="002132B3"/>
    <w:rsid w:val="002133FD"/>
    <w:rsid w:val="002134AF"/>
    <w:rsid w:val="002135F8"/>
    <w:rsid w:val="0021362C"/>
    <w:rsid w:val="00213A69"/>
    <w:rsid w:val="00213B3F"/>
    <w:rsid w:val="00213F4E"/>
    <w:rsid w:val="00214402"/>
    <w:rsid w:val="002145FA"/>
    <w:rsid w:val="00214647"/>
    <w:rsid w:val="0021467E"/>
    <w:rsid w:val="00214D89"/>
    <w:rsid w:val="002151FC"/>
    <w:rsid w:val="00215288"/>
    <w:rsid w:val="002155FB"/>
    <w:rsid w:val="002156B4"/>
    <w:rsid w:val="00215F54"/>
    <w:rsid w:val="0021653D"/>
    <w:rsid w:val="002165A4"/>
    <w:rsid w:val="00216D8F"/>
    <w:rsid w:val="00217056"/>
    <w:rsid w:val="002170D0"/>
    <w:rsid w:val="002171E7"/>
    <w:rsid w:val="00220195"/>
    <w:rsid w:val="00220309"/>
    <w:rsid w:val="0022048D"/>
    <w:rsid w:val="00220867"/>
    <w:rsid w:val="00220DF2"/>
    <w:rsid w:val="00220E76"/>
    <w:rsid w:val="002213F5"/>
    <w:rsid w:val="002218EC"/>
    <w:rsid w:val="002224F0"/>
    <w:rsid w:val="00222581"/>
    <w:rsid w:val="002226B2"/>
    <w:rsid w:val="0022279A"/>
    <w:rsid w:val="00222A21"/>
    <w:rsid w:val="00222D13"/>
    <w:rsid w:val="00222E02"/>
    <w:rsid w:val="00222FB2"/>
    <w:rsid w:val="00223A59"/>
    <w:rsid w:val="00223A76"/>
    <w:rsid w:val="00223BCB"/>
    <w:rsid w:val="00224080"/>
    <w:rsid w:val="002241F3"/>
    <w:rsid w:val="00224B4D"/>
    <w:rsid w:val="00224CA5"/>
    <w:rsid w:val="00224DAA"/>
    <w:rsid w:val="00224F79"/>
    <w:rsid w:val="00225069"/>
    <w:rsid w:val="002252EE"/>
    <w:rsid w:val="002254AB"/>
    <w:rsid w:val="0022552A"/>
    <w:rsid w:val="0022571F"/>
    <w:rsid w:val="00225C09"/>
    <w:rsid w:val="00225C14"/>
    <w:rsid w:val="00226014"/>
    <w:rsid w:val="002261E7"/>
    <w:rsid w:val="00226238"/>
    <w:rsid w:val="00226963"/>
    <w:rsid w:val="00226D56"/>
    <w:rsid w:val="00226E7A"/>
    <w:rsid w:val="00227383"/>
    <w:rsid w:val="00227DB3"/>
    <w:rsid w:val="00227F9E"/>
    <w:rsid w:val="00230CAB"/>
    <w:rsid w:val="00230D2A"/>
    <w:rsid w:val="00231094"/>
    <w:rsid w:val="0023119B"/>
    <w:rsid w:val="002312E5"/>
    <w:rsid w:val="00231376"/>
    <w:rsid w:val="00231520"/>
    <w:rsid w:val="002315BD"/>
    <w:rsid w:val="0023179C"/>
    <w:rsid w:val="00231A55"/>
    <w:rsid w:val="00231A5F"/>
    <w:rsid w:val="00231AA3"/>
    <w:rsid w:val="00231F1A"/>
    <w:rsid w:val="0023214C"/>
    <w:rsid w:val="002323B9"/>
    <w:rsid w:val="00232430"/>
    <w:rsid w:val="00232535"/>
    <w:rsid w:val="0023277A"/>
    <w:rsid w:val="00232B7D"/>
    <w:rsid w:val="002333D7"/>
    <w:rsid w:val="00233717"/>
    <w:rsid w:val="00233A62"/>
    <w:rsid w:val="00233B21"/>
    <w:rsid w:val="00233E1E"/>
    <w:rsid w:val="00233EAB"/>
    <w:rsid w:val="00234098"/>
    <w:rsid w:val="0023467D"/>
    <w:rsid w:val="002346FE"/>
    <w:rsid w:val="002354E4"/>
    <w:rsid w:val="00235671"/>
    <w:rsid w:val="00235757"/>
    <w:rsid w:val="0023597C"/>
    <w:rsid w:val="002359AA"/>
    <w:rsid w:val="00235A7A"/>
    <w:rsid w:val="00235A8D"/>
    <w:rsid w:val="00235EC7"/>
    <w:rsid w:val="00235F4E"/>
    <w:rsid w:val="002361F9"/>
    <w:rsid w:val="00236289"/>
    <w:rsid w:val="00236B62"/>
    <w:rsid w:val="0023750C"/>
    <w:rsid w:val="00237F42"/>
    <w:rsid w:val="0024037E"/>
    <w:rsid w:val="002403AC"/>
    <w:rsid w:val="00240861"/>
    <w:rsid w:val="002410B7"/>
    <w:rsid w:val="00241296"/>
    <w:rsid w:val="0024196C"/>
    <w:rsid w:val="00241A74"/>
    <w:rsid w:val="00242013"/>
    <w:rsid w:val="0024212E"/>
    <w:rsid w:val="00242277"/>
    <w:rsid w:val="002423E1"/>
    <w:rsid w:val="002437B3"/>
    <w:rsid w:val="002437C9"/>
    <w:rsid w:val="00244011"/>
    <w:rsid w:val="00244453"/>
    <w:rsid w:val="00244566"/>
    <w:rsid w:val="00244B8E"/>
    <w:rsid w:val="00244CE0"/>
    <w:rsid w:val="00245382"/>
    <w:rsid w:val="00245E76"/>
    <w:rsid w:val="0024603E"/>
    <w:rsid w:val="002460BE"/>
    <w:rsid w:val="00246494"/>
    <w:rsid w:val="0024666B"/>
    <w:rsid w:val="00246ADE"/>
    <w:rsid w:val="002474ED"/>
    <w:rsid w:val="00247808"/>
    <w:rsid w:val="00250150"/>
    <w:rsid w:val="00250791"/>
    <w:rsid w:val="00250FBF"/>
    <w:rsid w:val="0025143E"/>
    <w:rsid w:val="002518FE"/>
    <w:rsid w:val="002519A2"/>
    <w:rsid w:val="00251F69"/>
    <w:rsid w:val="00252301"/>
    <w:rsid w:val="00252515"/>
    <w:rsid w:val="00252B89"/>
    <w:rsid w:val="0025368D"/>
    <w:rsid w:val="00253CBF"/>
    <w:rsid w:val="00253CCE"/>
    <w:rsid w:val="00253D3F"/>
    <w:rsid w:val="002541A5"/>
    <w:rsid w:val="00254931"/>
    <w:rsid w:val="00254A11"/>
    <w:rsid w:val="00254D5F"/>
    <w:rsid w:val="002551F5"/>
    <w:rsid w:val="00255435"/>
    <w:rsid w:val="0025565A"/>
    <w:rsid w:val="00255866"/>
    <w:rsid w:val="00256979"/>
    <w:rsid w:val="00256D16"/>
    <w:rsid w:val="002570BE"/>
    <w:rsid w:val="002571C7"/>
    <w:rsid w:val="0025778B"/>
    <w:rsid w:val="0025788C"/>
    <w:rsid w:val="00257D51"/>
    <w:rsid w:val="00260010"/>
    <w:rsid w:val="002605C7"/>
    <w:rsid w:val="002610A9"/>
    <w:rsid w:val="002610E2"/>
    <w:rsid w:val="0026110E"/>
    <w:rsid w:val="00261E24"/>
    <w:rsid w:val="00261F5F"/>
    <w:rsid w:val="00262284"/>
    <w:rsid w:val="00262306"/>
    <w:rsid w:val="00262B3A"/>
    <w:rsid w:val="002631A8"/>
    <w:rsid w:val="00263799"/>
    <w:rsid w:val="00263FDA"/>
    <w:rsid w:val="002643B7"/>
    <w:rsid w:val="002643F5"/>
    <w:rsid w:val="0026468F"/>
    <w:rsid w:val="0026479C"/>
    <w:rsid w:val="00264A3F"/>
    <w:rsid w:val="00264CDF"/>
    <w:rsid w:val="0026500E"/>
    <w:rsid w:val="0026503F"/>
    <w:rsid w:val="002652B5"/>
    <w:rsid w:val="00265541"/>
    <w:rsid w:val="0026569B"/>
    <w:rsid w:val="002658BB"/>
    <w:rsid w:val="00265A24"/>
    <w:rsid w:val="00266031"/>
    <w:rsid w:val="00266048"/>
    <w:rsid w:val="0026626E"/>
    <w:rsid w:val="00266477"/>
    <w:rsid w:val="0026651C"/>
    <w:rsid w:val="00266731"/>
    <w:rsid w:val="00266E6D"/>
    <w:rsid w:val="00267190"/>
    <w:rsid w:val="00267303"/>
    <w:rsid w:val="002676A7"/>
    <w:rsid w:val="002678D6"/>
    <w:rsid w:val="00267B0C"/>
    <w:rsid w:val="00267DF8"/>
    <w:rsid w:val="002702B0"/>
    <w:rsid w:val="002702E3"/>
    <w:rsid w:val="002705FF"/>
    <w:rsid w:val="00270ACF"/>
    <w:rsid w:val="00270DE4"/>
    <w:rsid w:val="00270FD2"/>
    <w:rsid w:val="002710D7"/>
    <w:rsid w:val="00271271"/>
    <w:rsid w:val="002713EF"/>
    <w:rsid w:val="00271821"/>
    <w:rsid w:val="00271D4C"/>
    <w:rsid w:val="00271DC7"/>
    <w:rsid w:val="0027269C"/>
    <w:rsid w:val="00272728"/>
    <w:rsid w:val="00272ACF"/>
    <w:rsid w:val="00272CD3"/>
    <w:rsid w:val="00272CD4"/>
    <w:rsid w:val="00272FBB"/>
    <w:rsid w:val="00273012"/>
    <w:rsid w:val="00273560"/>
    <w:rsid w:val="00273698"/>
    <w:rsid w:val="00273E45"/>
    <w:rsid w:val="0027425E"/>
    <w:rsid w:val="002748C9"/>
    <w:rsid w:val="00274B8D"/>
    <w:rsid w:val="0027526E"/>
    <w:rsid w:val="00275291"/>
    <w:rsid w:val="00275507"/>
    <w:rsid w:val="00275587"/>
    <w:rsid w:val="002756B8"/>
    <w:rsid w:val="002758BB"/>
    <w:rsid w:val="00275D24"/>
    <w:rsid w:val="00276195"/>
    <w:rsid w:val="0027636B"/>
    <w:rsid w:val="00276447"/>
    <w:rsid w:val="0027674C"/>
    <w:rsid w:val="00276968"/>
    <w:rsid w:val="0027735A"/>
    <w:rsid w:val="0027760F"/>
    <w:rsid w:val="002776A8"/>
    <w:rsid w:val="00277721"/>
    <w:rsid w:val="002801C2"/>
    <w:rsid w:val="00280A28"/>
    <w:rsid w:val="00280EAB"/>
    <w:rsid w:val="0028221F"/>
    <w:rsid w:val="00282463"/>
    <w:rsid w:val="002824D1"/>
    <w:rsid w:val="00282737"/>
    <w:rsid w:val="0028280B"/>
    <w:rsid w:val="002828D4"/>
    <w:rsid w:val="0028295A"/>
    <w:rsid w:val="00282AE0"/>
    <w:rsid w:val="002834C1"/>
    <w:rsid w:val="00283646"/>
    <w:rsid w:val="00283914"/>
    <w:rsid w:val="00283AFB"/>
    <w:rsid w:val="00283C8D"/>
    <w:rsid w:val="00283DD2"/>
    <w:rsid w:val="0028499F"/>
    <w:rsid w:val="00284A5D"/>
    <w:rsid w:val="00284AD4"/>
    <w:rsid w:val="00284F0B"/>
    <w:rsid w:val="00284F71"/>
    <w:rsid w:val="00284FED"/>
    <w:rsid w:val="00285316"/>
    <w:rsid w:val="002855E2"/>
    <w:rsid w:val="00285998"/>
    <w:rsid w:val="00285A81"/>
    <w:rsid w:val="00285D4E"/>
    <w:rsid w:val="00285EAF"/>
    <w:rsid w:val="00285FF8"/>
    <w:rsid w:val="00286148"/>
    <w:rsid w:val="002861C7"/>
    <w:rsid w:val="002863A1"/>
    <w:rsid w:val="00286512"/>
    <w:rsid w:val="0028669F"/>
    <w:rsid w:val="002868FF"/>
    <w:rsid w:val="00286925"/>
    <w:rsid w:val="0028708B"/>
    <w:rsid w:val="002876F6"/>
    <w:rsid w:val="00287821"/>
    <w:rsid w:val="002879D9"/>
    <w:rsid w:val="00287E4A"/>
    <w:rsid w:val="002902A6"/>
    <w:rsid w:val="002906B8"/>
    <w:rsid w:val="002906FA"/>
    <w:rsid w:val="00290812"/>
    <w:rsid w:val="00290E0F"/>
    <w:rsid w:val="002919E3"/>
    <w:rsid w:val="00291EF2"/>
    <w:rsid w:val="00292277"/>
    <w:rsid w:val="00292583"/>
    <w:rsid w:val="00292E19"/>
    <w:rsid w:val="00293161"/>
    <w:rsid w:val="0029326B"/>
    <w:rsid w:val="00293669"/>
    <w:rsid w:val="00293742"/>
    <w:rsid w:val="00293A87"/>
    <w:rsid w:val="002943FD"/>
    <w:rsid w:val="00294530"/>
    <w:rsid w:val="0029466E"/>
    <w:rsid w:val="00294844"/>
    <w:rsid w:val="00294B3E"/>
    <w:rsid w:val="00294C7F"/>
    <w:rsid w:val="002950D2"/>
    <w:rsid w:val="0029527C"/>
    <w:rsid w:val="00295496"/>
    <w:rsid w:val="00295511"/>
    <w:rsid w:val="00295875"/>
    <w:rsid w:val="00295DBA"/>
    <w:rsid w:val="002969BE"/>
    <w:rsid w:val="00296C11"/>
    <w:rsid w:val="00296FA7"/>
    <w:rsid w:val="002971FB"/>
    <w:rsid w:val="00297491"/>
    <w:rsid w:val="002974E1"/>
    <w:rsid w:val="0029782E"/>
    <w:rsid w:val="0029788B"/>
    <w:rsid w:val="00297B12"/>
    <w:rsid w:val="00297CD6"/>
    <w:rsid w:val="002A0078"/>
    <w:rsid w:val="002A09D6"/>
    <w:rsid w:val="002A0C8D"/>
    <w:rsid w:val="002A0D0F"/>
    <w:rsid w:val="002A0D1B"/>
    <w:rsid w:val="002A0D70"/>
    <w:rsid w:val="002A0E33"/>
    <w:rsid w:val="002A0F48"/>
    <w:rsid w:val="002A128A"/>
    <w:rsid w:val="002A14D8"/>
    <w:rsid w:val="002A15B3"/>
    <w:rsid w:val="002A1604"/>
    <w:rsid w:val="002A1C76"/>
    <w:rsid w:val="002A2189"/>
    <w:rsid w:val="002A22F1"/>
    <w:rsid w:val="002A277A"/>
    <w:rsid w:val="002A27E0"/>
    <w:rsid w:val="002A2B2D"/>
    <w:rsid w:val="002A2D55"/>
    <w:rsid w:val="002A2DFF"/>
    <w:rsid w:val="002A32D9"/>
    <w:rsid w:val="002A355B"/>
    <w:rsid w:val="002A3E5A"/>
    <w:rsid w:val="002A3FAE"/>
    <w:rsid w:val="002A426E"/>
    <w:rsid w:val="002A43DB"/>
    <w:rsid w:val="002A5079"/>
    <w:rsid w:val="002A5193"/>
    <w:rsid w:val="002A5C63"/>
    <w:rsid w:val="002A5E3D"/>
    <w:rsid w:val="002A6377"/>
    <w:rsid w:val="002A638B"/>
    <w:rsid w:val="002A65C3"/>
    <w:rsid w:val="002A6706"/>
    <w:rsid w:val="002A6BCA"/>
    <w:rsid w:val="002A6BE1"/>
    <w:rsid w:val="002A6DFC"/>
    <w:rsid w:val="002A7024"/>
    <w:rsid w:val="002A762D"/>
    <w:rsid w:val="002B0196"/>
    <w:rsid w:val="002B08FF"/>
    <w:rsid w:val="002B0EE8"/>
    <w:rsid w:val="002B10D0"/>
    <w:rsid w:val="002B1125"/>
    <w:rsid w:val="002B14BB"/>
    <w:rsid w:val="002B15AB"/>
    <w:rsid w:val="002B16A7"/>
    <w:rsid w:val="002B1EE1"/>
    <w:rsid w:val="002B2721"/>
    <w:rsid w:val="002B29FC"/>
    <w:rsid w:val="002B35D5"/>
    <w:rsid w:val="002B38A5"/>
    <w:rsid w:val="002B3E85"/>
    <w:rsid w:val="002B3FEA"/>
    <w:rsid w:val="002B400D"/>
    <w:rsid w:val="002B417E"/>
    <w:rsid w:val="002B4326"/>
    <w:rsid w:val="002B49BD"/>
    <w:rsid w:val="002B4AE4"/>
    <w:rsid w:val="002B4E14"/>
    <w:rsid w:val="002B529E"/>
    <w:rsid w:val="002B5422"/>
    <w:rsid w:val="002B55EE"/>
    <w:rsid w:val="002B67F9"/>
    <w:rsid w:val="002B6838"/>
    <w:rsid w:val="002B6A1F"/>
    <w:rsid w:val="002B7297"/>
    <w:rsid w:val="002B7648"/>
    <w:rsid w:val="002B781C"/>
    <w:rsid w:val="002B7D62"/>
    <w:rsid w:val="002C00BA"/>
    <w:rsid w:val="002C05D4"/>
    <w:rsid w:val="002C05E7"/>
    <w:rsid w:val="002C07B6"/>
    <w:rsid w:val="002C0AD9"/>
    <w:rsid w:val="002C10D7"/>
    <w:rsid w:val="002C156B"/>
    <w:rsid w:val="002C1593"/>
    <w:rsid w:val="002C1CFB"/>
    <w:rsid w:val="002C1DD3"/>
    <w:rsid w:val="002C2BCC"/>
    <w:rsid w:val="002C2DD9"/>
    <w:rsid w:val="002C2E4D"/>
    <w:rsid w:val="002C2E68"/>
    <w:rsid w:val="002C30FA"/>
    <w:rsid w:val="002C3338"/>
    <w:rsid w:val="002C33FC"/>
    <w:rsid w:val="002C3456"/>
    <w:rsid w:val="002C37CC"/>
    <w:rsid w:val="002C3BC3"/>
    <w:rsid w:val="002C3C3A"/>
    <w:rsid w:val="002C3CDC"/>
    <w:rsid w:val="002C3DBA"/>
    <w:rsid w:val="002C42B4"/>
    <w:rsid w:val="002C48DD"/>
    <w:rsid w:val="002C504A"/>
    <w:rsid w:val="002C5B32"/>
    <w:rsid w:val="002C5E0C"/>
    <w:rsid w:val="002C6537"/>
    <w:rsid w:val="002C6601"/>
    <w:rsid w:val="002C69A7"/>
    <w:rsid w:val="002C6A87"/>
    <w:rsid w:val="002C6E3B"/>
    <w:rsid w:val="002C6EBB"/>
    <w:rsid w:val="002C71CC"/>
    <w:rsid w:val="002C7950"/>
    <w:rsid w:val="002C79F4"/>
    <w:rsid w:val="002C7A7C"/>
    <w:rsid w:val="002C7B98"/>
    <w:rsid w:val="002C7C9A"/>
    <w:rsid w:val="002C7E8F"/>
    <w:rsid w:val="002C7F36"/>
    <w:rsid w:val="002D01A9"/>
    <w:rsid w:val="002D0222"/>
    <w:rsid w:val="002D02A1"/>
    <w:rsid w:val="002D0A14"/>
    <w:rsid w:val="002D1B76"/>
    <w:rsid w:val="002D21D4"/>
    <w:rsid w:val="002D234F"/>
    <w:rsid w:val="002D2434"/>
    <w:rsid w:val="002D24ED"/>
    <w:rsid w:val="002D27E0"/>
    <w:rsid w:val="002D2887"/>
    <w:rsid w:val="002D3477"/>
    <w:rsid w:val="002D3C3B"/>
    <w:rsid w:val="002D3CE1"/>
    <w:rsid w:val="002D3D09"/>
    <w:rsid w:val="002D43CE"/>
    <w:rsid w:val="002D44A4"/>
    <w:rsid w:val="002D4859"/>
    <w:rsid w:val="002D497D"/>
    <w:rsid w:val="002D51C3"/>
    <w:rsid w:val="002D5300"/>
    <w:rsid w:val="002D57A1"/>
    <w:rsid w:val="002D5886"/>
    <w:rsid w:val="002D5B1D"/>
    <w:rsid w:val="002D5BAF"/>
    <w:rsid w:val="002D5FDC"/>
    <w:rsid w:val="002D6352"/>
    <w:rsid w:val="002D6B6A"/>
    <w:rsid w:val="002D6C2E"/>
    <w:rsid w:val="002D7556"/>
    <w:rsid w:val="002D764A"/>
    <w:rsid w:val="002D779E"/>
    <w:rsid w:val="002E0403"/>
    <w:rsid w:val="002E04EA"/>
    <w:rsid w:val="002E0F0E"/>
    <w:rsid w:val="002E0F85"/>
    <w:rsid w:val="002E1217"/>
    <w:rsid w:val="002E13C5"/>
    <w:rsid w:val="002E1B38"/>
    <w:rsid w:val="002E1C03"/>
    <w:rsid w:val="002E1E65"/>
    <w:rsid w:val="002E1F58"/>
    <w:rsid w:val="002E23AA"/>
    <w:rsid w:val="002E245C"/>
    <w:rsid w:val="002E280A"/>
    <w:rsid w:val="002E2AC3"/>
    <w:rsid w:val="002E2B0F"/>
    <w:rsid w:val="002E3383"/>
    <w:rsid w:val="002E3AD8"/>
    <w:rsid w:val="002E3AE7"/>
    <w:rsid w:val="002E417C"/>
    <w:rsid w:val="002E4BAF"/>
    <w:rsid w:val="002E4BDF"/>
    <w:rsid w:val="002E4D97"/>
    <w:rsid w:val="002E4DAF"/>
    <w:rsid w:val="002E59B0"/>
    <w:rsid w:val="002E5AB4"/>
    <w:rsid w:val="002E5E30"/>
    <w:rsid w:val="002E6055"/>
    <w:rsid w:val="002E63E1"/>
    <w:rsid w:val="002E651E"/>
    <w:rsid w:val="002E6673"/>
    <w:rsid w:val="002E6733"/>
    <w:rsid w:val="002E67D1"/>
    <w:rsid w:val="002E7154"/>
    <w:rsid w:val="002E73F8"/>
    <w:rsid w:val="002E7467"/>
    <w:rsid w:val="002E787C"/>
    <w:rsid w:val="002E7A86"/>
    <w:rsid w:val="002E7B0C"/>
    <w:rsid w:val="002E7D9B"/>
    <w:rsid w:val="002F0200"/>
    <w:rsid w:val="002F03C0"/>
    <w:rsid w:val="002F0447"/>
    <w:rsid w:val="002F050D"/>
    <w:rsid w:val="002F0918"/>
    <w:rsid w:val="002F0BA7"/>
    <w:rsid w:val="002F0D58"/>
    <w:rsid w:val="002F0F80"/>
    <w:rsid w:val="002F1004"/>
    <w:rsid w:val="002F1373"/>
    <w:rsid w:val="002F13DB"/>
    <w:rsid w:val="002F178F"/>
    <w:rsid w:val="002F1BC5"/>
    <w:rsid w:val="002F320E"/>
    <w:rsid w:val="002F338A"/>
    <w:rsid w:val="002F3556"/>
    <w:rsid w:val="002F397C"/>
    <w:rsid w:val="002F39F5"/>
    <w:rsid w:val="002F3DA0"/>
    <w:rsid w:val="002F4279"/>
    <w:rsid w:val="002F4637"/>
    <w:rsid w:val="002F465F"/>
    <w:rsid w:val="002F4FD4"/>
    <w:rsid w:val="002F5000"/>
    <w:rsid w:val="002F5AB8"/>
    <w:rsid w:val="002F60DC"/>
    <w:rsid w:val="002F639A"/>
    <w:rsid w:val="002F64E0"/>
    <w:rsid w:val="002F6D87"/>
    <w:rsid w:val="002F6EEB"/>
    <w:rsid w:val="002F76A6"/>
    <w:rsid w:val="002F77DA"/>
    <w:rsid w:val="002F785F"/>
    <w:rsid w:val="002F7941"/>
    <w:rsid w:val="003000D7"/>
    <w:rsid w:val="00300191"/>
    <w:rsid w:val="003004F2"/>
    <w:rsid w:val="003010C1"/>
    <w:rsid w:val="0030111C"/>
    <w:rsid w:val="0030137A"/>
    <w:rsid w:val="0030190A"/>
    <w:rsid w:val="00301DE8"/>
    <w:rsid w:val="0030218D"/>
    <w:rsid w:val="003024FD"/>
    <w:rsid w:val="003025B8"/>
    <w:rsid w:val="00302603"/>
    <w:rsid w:val="003029C5"/>
    <w:rsid w:val="00302CE6"/>
    <w:rsid w:val="00302E08"/>
    <w:rsid w:val="0030332F"/>
    <w:rsid w:val="00303401"/>
    <w:rsid w:val="003035AC"/>
    <w:rsid w:val="003035AD"/>
    <w:rsid w:val="00303A4E"/>
    <w:rsid w:val="00303AC7"/>
    <w:rsid w:val="00303D25"/>
    <w:rsid w:val="00303DCD"/>
    <w:rsid w:val="00303F5E"/>
    <w:rsid w:val="00303F9A"/>
    <w:rsid w:val="0030450D"/>
    <w:rsid w:val="00304521"/>
    <w:rsid w:val="0030454C"/>
    <w:rsid w:val="00304754"/>
    <w:rsid w:val="00304FB7"/>
    <w:rsid w:val="00305408"/>
    <w:rsid w:val="00305430"/>
    <w:rsid w:val="00305488"/>
    <w:rsid w:val="003056CE"/>
    <w:rsid w:val="0030585B"/>
    <w:rsid w:val="00305C1C"/>
    <w:rsid w:val="00305D02"/>
    <w:rsid w:val="00305EC2"/>
    <w:rsid w:val="003067B1"/>
    <w:rsid w:val="0030686C"/>
    <w:rsid w:val="00306968"/>
    <w:rsid w:val="0030705D"/>
    <w:rsid w:val="00307251"/>
    <w:rsid w:val="0030741A"/>
    <w:rsid w:val="00307E0A"/>
    <w:rsid w:val="0031000C"/>
    <w:rsid w:val="003107A9"/>
    <w:rsid w:val="0031080E"/>
    <w:rsid w:val="0031177D"/>
    <w:rsid w:val="00311B43"/>
    <w:rsid w:val="00312586"/>
    <w:rsid w:val="00312AA6"/>
    <w:rsid w:val="00312AB3"/>
    <w:rsid w:val="00312F83"/>
    <w:rsid w:val="0031306B"/>
    <w:rsid w:val="003141E1"/>
    <w:rsid w:val="00314272"/>
    <w:rsid w:val="003144A8"/>
    <w:rsid w:val="003148F2"/>
    <w:rsid w:val="00314B37"/>
    <w:rsid w:val="00314CAC"/>
    <w:rsid w:val="003150A0"/>
    <w:rsid w:val="00315891"/>
    <w:rsid w:val="00315C68"/>
    <w:rsid w:val="00315F23"/>
    <w:rsid w:val="00315FF7"/>
    <w:rsid w:val="003164B8"/>
    <w:rsid w:val="003168B3"/>
    <w:rsid w:val="00316A2A"/>
    <w:rsid w:val="00316B36"/>
    <w:rsid w:val="00316F81"/>
    <w:rsid w:val="00317345"/>
    <w:rsid w:val="00317575"/>
    <w:rsid w:val="00317689"/>
    <w:rsid w:val="003178F1"/>
    <w:rsid w:val="003179E6"/>
    <w:rsid w:val="00317E83"/>
    <w:rsid w:val="003204A9"/>
    <w:rsid w:val="0032050E"/>
    <w:rsid w:val="003206CB"/>
    <w:rsid w:val="003209CE"/>
    <w:rsid w:val="00321183"/>
    <w:rsid w:val="003212A6"/>
    <w:rsid w:val="003212BC"/>
    <w:rsid w:val="00321545"/>
    <w:rsid w:val="00321865"/>
    <w:rsid w:val="00321A7A"/>
    <w:rsid w:val="00321B56"/>
    <w:rsid w:val="00322274"/>
    <w:rsid w:val="00322733"/>
    <w:rsid w:val="003228DC"/>
    <w:rsid w:val="00322FD6"/>
    <w:rsid w:val="00323277"/>
    <w:rsid w:val="0032350F"/>
    <w:rsid w:val="00323DC0"/>
    <w:rsid w:val="00323E91"/>
    <w:rsid w:val="00325B02"/>
    <w:rsid w:val="00325B97"/>
    <w:rsid w:val="00326C98"/>
    <w:rsid w:val="0032746B"/>
    <w:rsid w:val="00327CFF"/>
    <w:rsid w:val="00327EC5"/>
    <w:rsid w:val="0033008D"/>
    <w:rsid w:val="003303DA"/>
    <w:rsid w:val="0033052F"/>
    <w:rsid w:val="00330A2C"/>
    <w:rsid w:val="00330AA0"/>
    <w:rsid w:val="00330CC7"/>
    <w:rsid w:val="00331121"/>
    <w:rsid w:val="00331264"/>
    <w:rsid w:val="003313C6"/>
    <w:rsid w:val="00331479"/>
    <w:rsid w:val="003315EF"/>
    <w:rsid w:val="00331B34"/>
    <w:rsid w:val="00331E3E"/>
    <w:rsid w:val="00332381"/>
    <w:rsid w:val="00332C4D"/>
    <w:rsid w:val="00332D02"/>
    <w:rsid w:val="00332E34"/>
    <w:rsid w:val="00333F4F"/>
    <w:rsid w:val="0033431D"/>
    <w:rsid w:val="003344D6"/>
    <w:rsid w:val="00334562"/>
    <w:rsid w:val="0033528F"/>
    <w:rsid w:val="00336206"/>
    <w:rsid w:val="00336E27"/>
    <w:rsid w:val="0033708B"/>
    <w:rsid w:val="003370F1"/>
    <w:rsid w:val="00337170"/>
    <w:rsid w:val="00337324"/>
    <w:rsid w:val="00337E24"/>
    <w:rsid w:val="0034084E"/>
    <w:rsid w:val="00340F2E"/>
    <w:rsid w:val="00341614"/>
    <w:rsid w:val="003418E9"/>
    <w:rsid w:val="00341C13"/>
    <w:rsid w:val="003421BF"/>
    <w:rsid w:val="00342332"/>
    <w:rsid w:val="00342A5A"/>
    <w:rsid w:val="00343093"/>
    <w:rsid w:val="003433A9"/>
    <w:rsid w:val="003437A0"/>
    <w:rsid w:val="00343B13"/>
    <w:rsid w:val="00343D5C"/>
    <w:rsid w:val="00343F15"/>
    <w:rsid w:val="0034445A"/>
    <w:rsid w:val="0034466F"/>
    <w:rsid w:val="00344C21"/>
    <w:rsid w:val="00344FDA"/>
    <w:rsid w:val="00345176"/>
    <w:rsid w:val="00345411"/>
    <w:rsid w:val="00345851"/>
    <w:rsid w:val="00345D8A"/>
    <w:rsid w:val="0034615F"/>
    <w:rsid w:val="0034624A"/>
    <w:rsid w:val="003469D5"/>
    <w:rsid w:val="00347385"/>
    <w:rsid w:val="00347C5C"/>
    <w:rsid w:val="003500BF"/>
    <w:rsid w:val="0035019E"/>
    <w:rsid w:val="003502D1"/>
    <w:rsid w:val="0035061F"/>
    <w:rsid w:val="00350D30"/>
    <w:rsid w:val="00350DEA"/>
    <w:rsid w:val="0035131F"/>
    <w:rsid w:val="00351A74"/>
    <w:rsid w:val="00351D7C"/>
    <w:rsid w:val="00351D8B"/>
    <w:rsid w:val="003523F6"/>
    <w:rsid w:val="003525EE"/>
    <w:rsid w:val="003526B0"/>
    <w:rsid w:val="00352AB7"/>
    <w:rsid w:val="00352E48"/>
    <w:rsid w:val="00353150"/>
    <w:rsid w:val="003532BE"/>
    <w:rsid w:val="00353386"/>
    <w:rsid w:val="00353AB9"/>
    <w:rsid w:val="00353F14"/>
    <w:rsid w:val="00354241"/>
    <w:rsid w:val="0035435F"/>
    <w:rsid w:val="00355017"/>
    <w:rsid w:val="0035557E"/>
    <w:rsid w:val="00355AC8"/>
    <w:rsid w:val="00355F5E"/>
    <w:rsid w:val="003565C0"/>
    <w:rsid w:val="003566D8"/>
    <w:rsid w:val="00356C2B"/>
    <w:rsid w:val="00356DDF"/>
    <w:rsid w:val="00356F9D"/>
    <w:rsid w:val="003572EA"/>
    <w:rsid w:val="003576B5"/>
    <w:rsid w:val="00357A19"/>
    <w:rsid w:val="003600AC"/>
    <w:rsid w:val="003602F9"/>
    <w:rsid w:val="00360BEA"/>
    <w:rsid w:val="00360C9D"/>
    <w:rsid w:val="00360D61"/>
    <w:rsid w:val="00360D67"/>
    <w:rsid w:val="0036102B"/>
    <w:rsid w:val="003610B4"/>
    <w:rsid w:val="0036113E"/>
    <w:rsid w:val="003613D4"/>
    <w:rsid w:val="00361A6D"/>
    <w:rsid w:val="00361B5F"/>
    <w:rsid w:val="00361F90"/>
    <w:rsid w:val="00362271"/>
    <w:rsid w:val="003625B0"/>
    <w:rsid w:val="00362AB5"/>
    <w:rsid w:val="00362E9F"/>
    <w:rsid w:val="00363213"/>
    <w:rsid w:val="0036327D"/>
    <w:rsid w:val="00363400"/>
    <w:rsid w:val="003636AD"/>
    <w:rsid w:val="00363727"/>
    <w:rsid w:val="00363924"/>
    <w:rsid w:val="00363BA7"/>
    <w:rsid w:val="00363FC9"/>
    <w:rsid w:val="003643C5"/>
    <w:rsid w:val="003647D8"/>
    <w:rsid w:val="003647E5"/>
    <w:rsid w:val="00364CBE"/>
    <w:rsid w:val="00364E81"/>
    <w:rsid w:val="00365256"/>
    <w:rsid w:val="00365561"/>
    <w:rsid w:val="003659CA"/>
    <w:rsid w:val="003659F9"/>
    <w:rsid w:val="00365A8A"/>
    <w:rsid w:val="00366316"/>
    <w:rsid w:val="003664DE"/>
    <w:rsid w:val="003665BB"/>
    <w:rsid w:val="0036697B"/>
    <w:rsid w:val="00367330"/>
    <w:rsid w:val="00367898"/>
    <w:rsid w:val="00367D09"/>
    <w:rsid w:val="00367E9D"/>
    <w:rsid w:val="00367F42"/>
    <w:rsid w:val="0037030F"/>
    <w:rsid w:val="00370496"/>
    <w:rsid w:val="00370F2A"/>
    <w:rsid w:val="00371125"/>
    <w:rsid w:val="00371497"/>
    <w:rsid w:val="003716B3"/>
    <w:rsid w:val="003716DA"/>
    <w:rsid w:val="00371A69"/>
    <w:rsid w:val="00371AE7"/>
    <w:rsid w:val="00371C4B"/>
    <w:rsid w:val="00371DBE"/>
    <w:rsid w:val="0037200B"/>
    <w:rsid w:val="003721E2"/>
    <w:rsid w:val="0037249E"/>
    <w:rsid w:val="00372523"/>
    <w:rsid w:val="00372A19"/>
    <w:rsid w:val="00372A62"/>
    <w:rsid w:val="00372ED7"/>
    <w:rsid w:val="0037355E"/>
    <w:rsid w:val="00373740"/>
    <w:rsid w:val="003743CB"/>
    <w:rsid w:val="00374B8D"/>
    <w:rsid w:val="00374C28"/>
    <w:rsid w:val="00374F3F"/>
    <w:rsid w:val="00375123"/>
    <w:rsid w:val="00375EFB"/>
    <w:rsid w:val="0037623C"/>
    <w:rsid w:val="0037641A"/>
    <w:rsid w:val="003767EA"/>
    <w:rsid w:val="003768F5"/>
    <w:rsid w:val="00376F1E"/>
    <w:rsid w:val="003773ED"/>
    <w:rsid w:val="003802C3"/>
    <w:rsid w:val="00380C72"/>
    <w:rsid w:val="00380E18"/>
    <w:rsid w:val="003813E2"/>
    <w:rsid w:val="00381436"/>
    <w:rsid w:val="003815E8"/>
    <w:rsid w:val="0038215C"/>
    <w:rsid w:val="00382405"/>
    <w:rsid w:val="00382B46"/>
    <w:rsid w:val="00382BB4"/>
    <w:rsid w:val="00382F49"/>
    <w:rsid w:val="0038336B"/>
    <w:rsid w:val="0038350F"/>
    <w:rsid w:val="00383DA4"/>
    <w:rsid w:val="00383E4A"/>
    <w:rsid w:val="0038401C"/>
    <w:rsid w:val="00384085"/>
    <w:rsid w:val="003845A3"/>
    <w:rsid w:val="00384867"/>
    <w:rsid w:val="00384EC7"/>
    <w:rsid w:val="0038592A"/>
    <w:rsid w:val="00385A0F"/>
    <w:rsid w:val="00386208"/>
    <w:rsid w:val="00386267"/>
    <w:rsid w:val="003865E0"/>
    <w:rsid w:val="00386D92"/>
    <w:rsid w:val="0038732B"/>
    <w:rsid w:val="0038746C"/>
    <w:rsid w:val="003874B3"/>
    <w:rsid w:val="00387543"/>
    <w:rsid w:val="003875BC"/>
    <w:rsid w:val="00387753"/>
    <w:rsid w:val="0038787A"/>
    <w:rsid w:val="003878CF"/>
    <w:rsid w:val="00387B0A"/>
    <w:rsid w:val="00387C4E"/>
    <w:rsid w:val="0039044B"/>
    <w:rsid w:val="00390D04"/>
    <w:rsid w:val="00390E8C"/>
    <w:rsid w:val="00391497"/>
    <w:rsid w:val="0039153C"/>
    <w:rsid w:val="003917ED"/>
    <w:rsid w:val="00391984"/>
    <w:rsid w:val="00392114"/>
    <w:rsid w:val="00392524"/>
    <w:rsid w:val="00392658"/>
    <w:rsid w:val="003928DD"/>
    <w:rsid w:val="00392921"/>
    <w:rsid w:val="0039294D"/>
    <w:rsid w:val="003930FB"/>
    <w:rsid w:val="00393131"/>
    <w:rsid w:val="00394A72"/>
    <w:rsid w:val="00394A89"/>
    <w:rsid w:val="00394DD0"/>
    <w:rsid w:val="00394F43"/>
    <w:rsid w:val="003957C4"/>
    <w:rsid w:val="00395F1D"/>
    <w:rsid w:val="00396907"/>
    <w:rsid w:val="00396975"/>
    <w:rsid w:val="0039699E"/>
    <w:rsid w:val="00396E54"/>
    <w:rsid w:val="00396E58"/>
    <w:rsid w:val="0039790E"/>
    <w:rsid w:val="00397E67"/>
    <w:rsid w:val="00397EE5"/>
    <w:rsid w:val="003A01BA"/>
    <w:rsid w:val="003A0428"/>
    <w:rsid w:val="003A066B"/>
    <w:rsid w:val="003A09AF"/>
    <w:rsid w:val="003A0E45"/>
    <w:rsid w:val="003A147A"/>
    <w:rsid w:val="003A1855"/>
    <w:rsid w:val="003A1BCF"/>
    <w:rsid w:val="003A2C40"/>
    <w:rsid w:val="003A2E2A"/>
    <w:rsid w:val="003A3B19"/>
    <w:rsid w:val="003A3DB6"/>
    <w:rsid w:val="003A4341"/>
    <w:rsid w:val="003A4870"/>
    <w:rsid w:val="003A4974"/>
    <w:rsid w:val="003A4ADC"/>
    <w:rsid w:val="003A4E81"/>
    <w:rsid w:val="003A4EFB"/>
    <w:rsid w:val="003A5005"/>
    <w:rsid w:val="003A52B9"/>
    <w:rsid w:val="003A5355"/>
    <w:rsid w:val="003A53D9"/>
    <w:rsid w:val="003A57AE"/>
    <w:rsid w:val="003A5CAB"/>
    <w:rsid w:val="003A5F0D"/>
    <w:rsid w:val="003A69CF"/>
    <w:rsid w:val="003A6F72"/>
    <w:rsid w:val="003A71B7"/>
    <w:rsid w:val="003A79D2"/>
    <w:rsid w:val="003B03AF"/>
    <w:rsid w:val="003B081F"/>
    <w:rsid w:val="003B08B5"/>
    <w:rsid w:val="003B0A09"/>
    <w:rsid w:val="003B0FEC"/>
    <w:rsid w:val="003B10A2"/>
    <w:rsid w:val="003B120C"/>
    <w:rsid w:val="003B1410"/>
    <w:rsid w:val="003B2E2A"/>
    <w:rsid w:val="003B3036"/>
    <w:rsid w:val="003B34CF"/>
    <w:rsid w:val="003B38FA"/>
    <w:rsid w:val="003B46E1"/>
    <w:rsid w:val="003B4A8C"/>
    <w:rsid w:val="003B4B25"/>
    <w:rsid w:val="003B4B51"/>
    <w:rsid w:val="003B4C1C"/>
    <w:rsid w:val="003B4FA9"/>
    <w:rsid w:val="003B557F"/>
    <w:rsid w:val="003B5953"/>
    <w:rsid w:val="003B5FB5"/>
    <w:rsid w:val="003B5FFD"/>
    <w:rsid w:val="003B6761"/>
    <w:rsid w:val="003B6D59"/>
    <w:rsid w:val="003B6E5E"/>
    <w:rsid w:val="003B6FC4"/>
    <w:rsid w:val="003B79D0"/>
    <w:rsid w:val="003B7BB8"/>
    <w:rsid w:val="003C05D5"/>
    <w:rsid w:val="003C078D"/>
    <w:rsid w:val="003C0F10"/>
    <w:rsid w:val="003C107B"/>
    <w:rsid w:val="003C1329"/>
    <w:rsid w:val="003C1CFC"/>
    <w:rsid w:val="003C1F34"/>
    <w:rsid w:val="003C2207"/>
    <w:rsid w:val="003C2265"/>
    <w:rsid w:val="003C2F6F"/>
    <w:rsid w:val="003C2F79"/>
    <w:rsid w:val="003C31CE"/>
    <w:rsid w:val="003C31FB"/>
    <w:rsid w:val="003C3209"/>
    <w:rsid w:val="003C333D"/>
    <w:rsid w:val="003C37E5"/>
    <w:rsid w:val="003C3B20"/>
    <w:rsid w:val="003C3D92"/>
    <w:rsid w:val="003C4148"/>
    <w:rsid w:val="003C4343"/>
    <w:rsid w:val="003C43B5"/>
    <w:rsid w:val="003C44EF"/>
    <w:rsid w:val="003C452E"/>
    <w:rsid w:val="003C48D6"/>
    <w:rsid w:val="003C4B70"/>
    <w:rsid w:val="003C4CD0"/>
    <w:rsid w:val="003C5D18"/>
    <w:rsid w:val="003C5DB5"/>
    <w:rsid w:val="003C62A4"/>
    <w:rsid w:val="003C6553"/>
    <w:rsid w:val="003C66AE"/>
    <w:rsid w:val="003C6C40"/>
    <w:rsid w:val="003C6E30"/>
    <w:rsid w:val="003C70C9"/>
    <w:rsid w:val="003C7398"/>
    <w:rsid w:val="003D00B6"/>
    <w:rsid w:val="003D0F7A"/>
    <w:rsid w:val="003D1180"/>
    <w:rsid w:val="003D1203"/>
    <w:rsid w:val="003D1382"/>
    <w:rsid w:val="003D155F"/>
    <w:rsid w:val="003D1858"/>
    <w:rsid w:val="003D19A1"/>
    <w:rsid w:val="003D21E0"/>
    <w:rsid w:val="003D30C5"/>
    <w:rsid w:val="003D39C1"/>
    <w:rsid w:val="003D3BA4"/>
    <w:rsid w:val="003D3CBA"/>
    <w:rsid w:val="003D43F6"/>
    <w:rsid w:val="003D4553"/>
    <w:rsid w:val="003D45EA"/>
    <w:rsid w:val="003D4B4A"/>
    <w:rsid w:val="003D5151"/>
    <w:rsid w:val="003D53D5"/>
    <w:rsid w:val="003D5B1C"/>
    <w:rsid w:val="003D627A"/>
    <w:rsid w:val="003D6359"/>
    <w:rsid w:val="003D64D6"/>
    <w:rsid w:val="003D6594"/>
    <w:rsid w:val="003D6781"/>
    <w:rsid w:val="003D6EA8"/>
    <w:rsid w:val="003D7353"/>
    <w:rsid w:val="003D7AF6"/>
    <w:rsid w:val="003D7CFD"/>
    <w:rsid w:val="003D7DEC"/>
    <w:rsid w:val="003E0547"/>
    <w:rsid w:val="003E0857"/>
    <w:rsid w:val="003E0871"/>
    <w:rsid w:val="003E0BDC"/>
    <w:rsid w:val="003E0D6A"/>
    <w:rsid w:val="003E0FCC"/>
    <w:rsid w:val="003E1544"/>
    <w:rsid w:val="003E1DB5"/>
    <w:rsid w:val="003E24A5"/>
    <w:rsid w:val="003E257B"/>
    <w:rsid w:val="003E26D5"/>
    <w:rsid w:val="003E29D2"/>
    <w:rsid w:val="003E2A7D"/>
    <w:rsid w:val="003E2BDC"/>
    <w:rsid w:val="003E2F0A"/>
    <w:rsid w:val="003E3580"/>
    <w:rsid w:val="003E3779"/>
    <w:rsid w:val="003E3B9F"/>
    <w:rsid w:val="003E4306"/>
    <w:rsid w:val="003E4903"/>
    <w:rsid w:val="003E4A1E"/>
    <w:rsid w:val="003E4D62"/>
    <w:rsid w:val="003E4DB5"/>
    <w:rsid w:val="003E58A0"/>
    <w:rsid w:val="003E5C55"/>
    <w:rsid w:val="003E5D44"/>
    <w:rsid w:val="003E5FA3"/>
    <w:rsid w:val="003E686A"/>
    <w:rsid w:val="003E6A41"/>
    <w:rsid w:val="003E6B2A"/>
    <w:rsid w:val="003E6BB4"/>
    <w:rsid w:val="003E6D30"/>
    <w:rsid w:val="003E6F74"/>
    <w:rsid w:val="003E736E"/>
    <w:rsid w:val="003E78C3"/>
    <w:rsid w:val="003E7B12"/>
    <w:rsid w:val="003E7DFA"/>
    <w:rsid w:val="003F0102"/>
    <w:rsid w:val="003F1041"/>
    <w:rsid w:val="003F11A4"/>
    <w:rsid w:val="003F1392"/>
    <w:rsid w:val="003F1406"/>
    <w:rsid w:val="003F148F"/>
    <w:rsid w:val="003F1860"/>
    <w:rsid w:val="003F1FB7"/>
    <w:rsid w:val="003F228D"/>
    <w:rsid w:val="003F2568"/>
    <w:rsid w:val="003F276B"/>
    <w:rsid w:val="003F2850"/>
    <w:rsid w:val="003F2AC2"/>
    <w:rsid w:val="003F3B62"/>
    <w:rsid w:val="003F3F68"/>
    <w:rsid w:val="003F3FD7"/>
    <w:rsid w:val="003F401E"/>
    <w:rsid w:val="003F432F"/>
    <w:rsid w:val="003F43BF"/>
    <w:rsid w:val="003F4D62"/>
    <w:rsid w:val="003F4DCE"/>
    <w:rsid w:val="003F50CC"/>
    <w:rsid w:val="003F53FB"/>
    <w:rsid w:val="003F58FC"/>
    <w:rsid w:val="003F5AA2"/>
    <w:rsid w:val="003F5CC7"/>
    <w:rsid w:val="003F5D40"/>
    <w:rsid w:val="003F6053"/>
    <w:rsid w:val="003F618F"/>
    <w:rsid w:val="003F65B2"/>
    <w:rsid w:val="003F6E16"/>
    <w:rsid w:val="003F726D"/>
    <w:rsid w:val="003F76FA"/>
    <w:rsid w:val="003F7A97"/>
    <w:rsid w:val="003F7D10"/>
    <w:rsid w:val="0040002F"/>
    <w:rsid w:val="00400F79"/>
    <w:rsid w:val="004012D1"/>
    <w:rsid w:val="00401AC0"/>
    <w:rsid w:val="00401CF8"/>
    <w:rsid w:val="00401FE1"/>
    <w:rsid w:val="00402252"/>
    <w:rsid w:val="00402420"/>
    <w:rsid w:val="00402457"/>
    <w:rsid w:val="00402549"/>
    <w:rsid w:val="004027F4"/>
    <w:rsid w:val="00403447"/>
    <w:rsid w:val="004036D4"/>
    <w:rsid w:val="004038E4"/>
    <w:rsid w:val="00403B76"/>
    <w:rsid w:val="0040456E"/>
    <w:rsid w:val="004045F9"/>
    <w:rsid w:val="004046C3"/>
    <w:rsid w:val="00404E43"/>
    <w:rsid w:val="00405E81"/>
    <w:rsid w:val="00406290"/>
    <w:rsid w:val="0040629D"/>
    <w:rsid w:val="00406564"/>
    <w:rsid w:val="00406B8A"/>
    <w:rsid w:val="00406C87"/>
    <w:rsid w:val="00406E7B"/>
    <w:rsid w:val="00407033"/>
    <w:rsid w:val="004072A6"/>
    <w:rsid w:val="004076B5"/>
    <w:rsid w:val="00407811"/>
    <w:rsid w:val="004102F0"/>
    <w:rsid w:val="00410A4B"/>
    <w:rsid w:val="0041147C"/>
    <w:rsid w:val="00411ABD"/>
    <w:rsid w:val="00411C06"/>
    <w:rsid w:val="00411C6D"/>
    <w:rsid w:val="00412052"/>
    <w:rsid w:val="00412508"/>
    <w:rsid w:val="00412877"/>
    <w:rsid w:val="004130CF"/>
    <w:rsid w:val="0041370C"/>
    <w:rsid w:val="00413DAB"/>
    <w:rsid w:val="00413E37"/>
    <w:rsid w:val="0041439A"/>
    <w:rsid w:val="00414822"/>
    <w:rsid w:val="00414B6B"/>
    <w:rsid w:val="00414B96"/>
    <w:rsid w:val="00414E2D"/>
    <w:rsid w:val="00415332"/>
    <w:rsid w:val="00415356"/>
    <w:rsid w:val="004154FC"/>
    <w:rsid w:val="004159B1"/>
    <w:rsid w:val="00415C3C"/>
    <w:rsid w:val="00416217"/>
    <w:rsid w:val="00416C9D"/>
    <w:rsid w:val="004170A4"/>
    <w:rsid w:val="0041742C"/>
    <w:rsid w:val="00417489"/>
    <w:rsid w:val="00417D7D"/>
    <w:rsid w:val="0042075F"/>
    <w:rsid w:val="00420991"/>
    <w:rsid w:val="004215B0"/>
    <w:rsid w:val="004216DD"/>
    <w:rsid w:val="004217CB"/>
    <w:rsid w:val="0042185D"/>
    <w:rsid w:val="00421D32"/>
    <w:rsid w:val="00421F18"/>
    <w:rsid w:val="0042205D"/>
    <w:rsid w:val="004224DA"/>
    <w:rsid w:val="00422D83"/>
    <w:rsid w:val="00422E47"/>
    <w:rsid w:val="00423180"/>
    <w:rsid w:val="0042337A"/>
    <w:rsid w:val="004235EB"/>
    <w:rsid w:val="00423BE0"/>
    <w:rsid w:val="0042422A"/>
    <w:rsid w:val="004243A7"/>
    <w:rsid w:val="00424C23"/>
    <w:rsid w:val="0042617C"/>
    <w:rsid w:val="00426239"/>
    <w:rsid w:val="00426334"/>
    <w:rsid w:val="00426446"/>
    <w:rsid w:val="004265DC"/>
    <w:rsid w:val="004266F2"/>
    <w:rsid w:val="00426AC2"/>
    <w:rsid w:val="00426CBA"/>
    <w:rsid w:val="00427061"/>
    <w:rsid w:val="0042710D"/>
    <w:rsid w:val="0042750F"/>
    <w:rsid w:val="004275CB"/>
    <w:rsid w:val="00430844"/>
    <w:rsid w:val="00430CB7"/>
    <w:rsid w:val="0043125D"/>
    <w:rsid w:val="0043143A"/>
    <w:rsid w:val="004314AE"/>
    <w:rsid w:val="00431ACF"/>
    <w:rsid w:val="0043210F"/>
    <w:rsid w:val="004321DC"/>
    <w:rsid w:val="00432244"/>
    <w:rsid w:val="00432302"/>
    <w:rsid w:val="00432498"/>
    <w:rsid w:val="00432684"/>
    <w:rsid w:val="004326DD"/>
    <w:rsid w:val="00432ABC"/>
    <w:rsid w:val="00432AD6"/>
    <w:rsid w:val="00432B7F"/>
    <w:rsid w:val="0043302E"/>
    <w:rsid w:val="00433189"/>
    <w:rsid w:val="00434678"/>
    <w:rsid w:val="004348CC"/>
    <w:rsid w:val="00434B34"/>
    <w:rsid w:val="00434DFA"/>
    <w:rsid w:val="0043521F"/>
    <w:rsid w:val="004352CC"/>
    <w:rsid w:val="00435874"/>
    <w:rsid w:val="00435E17"/>
    <w:rsid w:val="00436026"/>
    <w:rsid w:val="0043682F"/>
    <w:rsid w:val="0043707F"/>
    <w:rsid w:val="004375AF"/>
    <w:rsid w:val="00437611"/>
    <w:rsid w:val="0044071E"/>
    <w:rsid w:val="004407F4"/>
    <w:rsid w:val="0044090D"/>
    <w:rsid w:val="00440A61"/>
    <w:rsid w:val="00440B58"/>
    <w:rsid w:val="00440F3D"/>
    <w:rsid w:val="00440F54"/>
    <w:rsid w:val="004410E2"/>
    <w:rsid w:val="004411C7"/>
    <w:rsid w:val="0044170C"/>
    <w:rsid w:val="0044172C"/>
    <w:rsid w:val="00441734"/>
    <w:rsid w:val="00441828"/>
    <w:rsid w:val="00441921"/>
    <w:rsid w:val="00441CF0"/>
    <w:rsid w:val="004420C1"/>
    <w:rsid w:val="004439EF"/>
    <w:rsid w:val="00443A27"/>
    <w:rsid w:val="00443AAB"/>
    <w:rsid w:val="0044422C"/>
    <w:rsid w:val="004442FE"/>
    <w:rsid w:val="0044447A"/>
    <w:rsid w:val="004446C3"/>
    <w:rsid w:val="004449DC"/>
    <w:rsid w:val="00444D8F"/>
    <w:rsid w:val="00444ED9"/>
    <w:rsid w:val="00445126"/>
    <w:rsid w:val="004453A8"/>
    <w:rsid w:val="00445C00"/>
    <w:rsid w:val="00446446"/>
    <w:rsid w:val="00446F11"/>
    <w:rsid w:val="00446F1A"/>
    <w:rsid w:val="00447880"/>
    <w:rsid w:val="004478C7"/>
    <w:rsid w:val="00447C4F"/>
    <w:rsid w:val="00447DA9"/>
    <w:rsid w:val="00447EF8"/>
    <w:rsid w:val="00450C3D"/>
    <w:rsid w:val="00450F11"/>
    <w:rsid w:val="00451176"/>
    <w:rsid w:val="00451410"/>
    <w:rsid w:val="00451637"/>
    <w:rsid w:val="00451789"/>
    <w:rsid w:val="00451847"/>
    <w:rsid w:val="00452594"/>
    <w:rsid w:val="004528AF"/>
    <w:rsid w:val="004534C2"/>
    <w:rsid w:val="004545B6"/>
    <w:rsid w:val="00454605"/>
    <w:rsid w:val="00454797"/>
    <w:rsid w:val="00454B42"/>
    <w:rsid w:val="00454ED8"/>
    <w:rsid w:val="004556A3"/>
    <w:rsid w:val="004560EE"/>
    <w:rsid w:val="00456472"/>
    <w:rsid w:val="00456B06"/>
    <w:rsid w:val="00456C1E"/>
    <w:rsid w:val="0045724A"/>
    <w:rsid w:val="0045797B"/>
    <w:rsid w:val="00457ABB"/>
    <w:rsid w:val="00457F7D"/>
    <w:rsid w:val="004608D2"/>
    <w:rsid w:val="00460916"/>
    <w:rsid w:val="00461400"/>
    <w:rsid w:val="00461596"/>
    <w:rsid w:val="00461E04"/>
    <w:rsid w:val="00461F18"/>
    <w:rsid w:val="00462395"/>
    <w:rsid w:val="00462502"/>
    <w:rsid w:val="004625EF"/>
    <w:rsid w:val="00462816"/>
    <w:rsid w:val="00463988"/>
    <w:rsid w:val="004639E5"/>
    <w:rsid w:val="00463BDF"/>
    <w:rsid w:val="00463F1D"/>
    <w:rsid w:val="00464941"/>
    <w:rsid w:val="00464D7B"/>
    <w:rsid w:val="00465048"/>
    <w:rsid w:val="004655F1"/>
    <w:rsid w:val="00465792"/>
    <w:rsid w:val="00465A79"/>
    <w:rsid w:val="00465BE2"/>
    <w:rsid w:val="00465ED4"/>
    <w:rsid w:val="0046605B"/>
    <w:rsid w:val="00466AB3"/>
    <w:rsid w:val="00466D24"/>
    <w:rsid w:val="00467196"/>
    <w:rsid w:val="00467523"/>
    <w:rsid w:val="00467847"/>
    <w:rsid w:val="00470306"/>
    <w:rsid w:val="00470FDA"/>
    <w:rsid w:val="004710B7"/>
    <w:rsid w:val="004710D3"/>
    <w:rsid w:val="0047127F"/>
    <w:rsid w:val="0047185F"/>
    <w:rsid w:val="00472A20"/>
    <w:rsid w:val="00472B1E"/>
    <w:rsid w:val="004734A6"/>
    <w:rsid w:val="004735D7"/>
    <w:rsid w:val="00473876"/>
    <w:rsid w:val="004739C8"/>
    <w:rsid w:val="00474813"/>
    <w:rsid w:val="00474A08"/>
    <w:rsid w:val="00474AB8"/>
    <w:rsid w:val="00475804"/>
    <w:rsid w:val="00475E1D"/>
    <w:rsid w:val="00475E78"/>
    <w:rsid w:val="0047617D"/>
    <w:rsid w:val="004764C3"/>
    <w:rsid w:val="00476AD4"/>
    <w:rsid w:val="00476B78"/>
    <w:rsid w:val="00476C37"/>
    <w:rsid w:val="00477047"/>
    <w:rsid w:val="004770EB"/>
    <w:rsid w:val="00477689"/>
    <w:rsid w:val="00477914"/>
    <w:rsid w:val="004779D0"/>
    <w:rsid w:val="00477F0B"/>
    <w:rsid w:val="00480657"/>
    <w:rsid w:val="00480D31"/>
    <w:rsid w:val="00480F7B"/>
    <w:rsid w:val="0048120F"/>
    <w:rsid w:val="004812BA"/>
    <w:rsid w:val="00481372"/>
    <w:rsid w:val="00481454"/>
    <w:rsid w:val="00481703"/>
    <w:rsid w:val="00481D84"/>
    <w:rsid w:val="00481F48"/>
    <w:rsid w:val="00482454"/>
    <w:rsid w:val="00482A4F"/>
    <w:rsid w:val="00482B78"/>
    <w:rsid w:val="00482BF7"/>
    <w:rsid w:val="00482C5D"/>
    <w:rsid w:val="00483BDD"/>
    <w:rsid w:val="0048429C"/>
    <w:rsid w:val="0048452D"/>
    <w:rsid w:val="00484599"/>
    <w:rsid w:val="0048467A"/>
    <w:rsid w:val="0048468A"/>
    <w:rsid w:val="004847E4"/>
    <w:rsid w:val="00484FD0"/>
    <w:rsid w:val="0048559D"/>
    <w:rsid w:val="0048566E"/>
    <w:rsid w:val="00485706"/>
    <w:rsid w:val="00485D41"/>
    <w:rsid w:val="00486273"/>
    <w:rsid w:val="004862D0"/>
    <w:rsid w:val="00486310"/>
    <w:rsid w:val="0048673A"/>
    <w:rsid w:val="0048682B"/>
    <w:rsid w:val="00486C56"/>
    <w:rsid w:val="004876FF"/>
    <w:rsid w:val="00487834"/>
    <w:rsid w:val="004879D1"/>
    <w:rsid w:val="00487AF1"/>
    <w:rsid w:val="00487BB6"/>
    <w:rsid w:val="00487E31"/>
    <w:rsid w:val="00487EFF"/>
    <w:rsid w:val="004905EE"/>
    <w:rsid w:val="0049091E"/>
    <w:rsid w:val="00490E23"/>
    <w:rsid w:val="00491328"/>
    <w:rsid w:val="00491CEE"/>
    <w:rsid w:val="00491DD6"/>
    <w:rsid w:val="0049273C"/>
    <w:rsid w:val="00492AAB"/>
    <w:rsid w:val="004936CC"/>
    <w:rsid w:val="00493742"/>
    <w:rsid w:val="00493EA1"/>
    <w:rsid w:val="00493EE1"/>
    <w:rsid w:val="00494F60"/>
    <w:rsid w:val="0049518B"/>
    <w:rsid w:val="0049532D"/>
    <w:rsid w:val="0049586A"/>
    <w:rsid w:val="00495A68"/>
    <w:rsid w:val="00495CC1"/>
    <w:rsid w:val="00495E37"/>
    <w:rsid w:val="00495F17"/>
    <w:rsid w:val="0049692F"/>
    <w:rsid w:val="00496A58"/>
    <w:rsid w:val="00497CA8"/>
    <w:rsid w:val="00497D51"/>
    <w:rsid w:val="00497F86"/>
    <w:rsid w:val="004A00FD"/>
    <w:rsid w:val="004A0155"/>
    <w:rsid w:val="004A03BB"/>
    <w:rsid w:val="004A04F3"/>
    <w:rsid w:val="004A057E"/>
    <w:rsid w:val="004A0CAF"/>
    <w:rsid w:val="004A19D2"/>
    <w:rsid w:val="004A217D"/>
    <w:rsid w:val="004A2240"/>
    <w:rsid w:val="004A22F4"/>
    <w:rsid w:val="004A26A9"/>
    <w:rsid w:val="004A29D0"/>
    <w:rsid w:val="004A2CB2"/>
    <w:rsid w:val="004A3076"/>
    <w:rsid w:val="004A3445"/>
    <w:rsid w:val="004A352A"/>
    <w:rsid w:val="004A3574"/>
    <w:rsid w:val="004A383C"/>
    <w:rsid w:val="004A40C5"/>
    <w:rsid w:val="004A4253"/>
    <w:rsid w:val="004A44C7"/>
    <w:rsid w:val="004A53CB"/>
    <w:rsid w:val="004A5C62"/>
    <w:rsid w:val="004A5CCB"/>
    <w:rsid w:val="004A5D4B"/>
    <w:rsid w:val="004A5D64"/>
    <w:rsid w:val="004A5EB4"/>
    <w:rsid w:val="004A5F98"/>
    <w:rsid w:val="004A6A86"/>
    <w:rsid w:val="004A6E7C"/>
    <w:rsid w:val="004A6F7A"/>
    <w:rsid w:val="004A7439"/>
    <w:rsid w:val="004A788E"/>
    <w:rsid w:val="004A7C2A"/>
    <w:rsid w:val="004A7D13"/>
    <w:rsid w:val="004A7E61"/>
    <w:rsid w:val="004A7FAE"/>
    <w:rsid w:val="004B03C0"/>
    <w:rsid w:val="004B0551"/>
    <w:rsid w:val="004B0846"/>
    <w:rsid w:val="004B0A15"/>
    <w:rsid w:val="004B0BE2"/>
    <w:rsid w:val="004B1265"/>
    <w:rsid w:val="004B13C9"/>
    <w:rsid w:val="004B1BF3"/>
    <w:rsid w:val="004B1C09"/>
    <w:rsid w:val="004B1E7F"/>
    <w:rsid w:val="004B2009"/>
    <w:rsid w:val="004B20C3"/>
    <w:rsid w:val="004B2176"/>
    <w:rsid w:val="004B257F"/>
    <w:rsid w:val="004B25D3"/>
    <w:rsid w:val="004B2871"/>
    <w:rsid w:val="004B2CE8"/>
    <w:rsid w:val="004B2D0E"/>
    <w:rsid w:val="004B2F94"/>
    <w:rsid w:val="004B35AA"/>
    <w:rsid w:val="004B37D7"/>
    <w:rsid w:val="004B3D16"/>
    <w:rsid w:val="004B3EF8"/>
    <w:rsid w:val="004B469A"/>
    <w:rsid w:val="004B4780"/>
    <w:rsid w:val="004B490F"/>
    <w:rsid w:val="004B5113"/>
    <w:rsid w:val="004B536B"/>
    <w:rsid w:val="004B586E"/>
    <w:rsid w:val="004B5E06"/>
    <w:rsid w:val="004B68FF"/>
    <w:rsid w:val="004B6CCB"/>
    <w:rsid w:val="004B736C"/>
    <w:rsid w:val="004B760E"/>
    <w:rsid w:val="004B767F"/>
    <w:rsid w:val="004B7719"/>
    <w:rsid w:val="004B78C5"/>
    <w:rsid w:val="004B79CF"/>
    <w:rsid w:val="004C0669"/>
    <w:rsid w:val="004C0D38"/>
    <w:rsid w:val="004C0E2B"/>
    <w:rsid w:val="004C0E33"/>
    <w:rsid w:val="004C121A"/>
    <w:rsid w:val="004C13FF"/>
    <w:rsid w:val="004C16C9"/>
    <w:rsid w:val="004C16D3"/>
    <w:rsid w:val="004C17DA"/>
    <w:rsid w:val="004C1B77"/>
    <w:rsid w:val="004C204F"/>
    <w:rsid w:val="004C2355"/>
    <w:rsid w:val="004C2515"/>
    <w:rsid w:val="004C363C"/>
    <w:rsid w:val="004C3E79"/>
    <w:rsid w:val="004C4180"/>
    <w:rsid w:val="004C4640"/>
    <w:rsid w:val="004C4921"/>
    <w:rsid w:val="004C4A48"/>
    <w:rsid w:val="004C59E1"/>
    <w:rsid w:val="004C5BE4"/>
    <w:rsid w:val="004C6591"/>
    <w:rsid w:val="004C6943"/>
    <w:rsid w:val="004C6F9C"/>
    <w:rsid w:val="004C79EF"/>
    <w:rsid w:val="004D003D"/>
    <w:rsid w:val="004D00BC"/>
    <w:rsid w:val="004D0437"/>
    <w:rsid w:val="004D0B9B"/>
    <w:rsid w:val="004D1053"/>
    <w:rsid w:val="004D13CD"/>
    <w:rsid w:val="004D1524"/>
    <w:rsid w:val="004D155C"/>
    <w:rsid w:val="004D1A87"/>
    <w:rsid w:val="004D1F55"/>
    <w:rsid w:val="004D21D9"/>
    <w:rsid w:val="004D24FF"/>
    <w:rsid w:val="004D25D6"/>
    <w:rsid w:val="004D2AC8"/>
    <w:rsid w:val="004D32E3"/>
    <w:rsid w:val="004D3312"/>
    <w:rsid w:val="004D3537"/>
    <w:rsid w:val="004D3901"/>
    <w:rsid w:val="004D3C11"/>
    <w:rsid w:val="004D40AF"/>
    <w:rsid w:val="004D456E"/>
    <w:rsid w:val="004D4AEB"/>
    <w:rsid w:val="004D4B45"/>
    <w:rsid w:val="004D4DD1"/>
    <w:rsid w:val="004D5087"/>
    <w:rsid w:val="004D5297"/>
    <w:rsid w:val="004D537A"/>
    <w:rsid w:val="004D5D2A"/>
    <w:rsid w:val="004D690E"/>
    <w:rsid w:val="004D7142"/>
    <w:rsid w:val="004D764C"/>
    <w:rsid w:val="004E0156"/>
    <w:rsid w:val="004E0260"/>
    <w:rsid w:val="004E04C0"/>
    <w:rsid w:val="004E09CC"/>
    <w:rsid w:val="004E0AD5"/>
    <w:rsid w:val="004E0FAF"/>
    <w:rsid w:val="004E0FBB"/>
    <w:rsid w:val="004E12DF"/>
    <w:rsid w:val="004E28CD"/>
    <w:rsid w:val="004E29ED"/>
    <w:rsid w:val="004E3155"/>
    <w:rsid w:val="004E345C"/>
    <w:rsid w:val="004E3764"/>
    <w:rsid w:val="004E3CE6"/>
    <w:rsid w:val="004E43C0"/>
    <w:rsid w:val="004E4761"/>
    <w:rsid w:val="004E4A40"/>
    <w:rsid w:val="004E5389"/>
    <w:rsid w:val="004E6BF8"/>
    <w:rsid w:val="004E6CC0"/>
    <w:rsid w:val="004E6DC0"/>
    <w:rsid w:val="004E6E24"/>
    <w:rsid w:val="004E7202"/>
    <w:rsid w:val="004E7208"/>
    <w:rsid w:val="004E766B"/>
    <w:rsid w:val="004E7F53"/>
    <w:rsid w:val="004F02EB"/>
    <w:rsid w:val="004F0BE7"/>
    <w:rsid w:val="004F0C89"/>
    <w:rsid w:val="004F1EA0"/>
    <w:rsid w:val="004F2342"/>
    <w:rsid w:val="004F25AC"/>
    <w:rsid w:val="004F26A6"/>
    <w:rsid w:val="004F28A4"/>
    <w:rsid w:val="004F3119"/>
    <w:rsid w:val="004F3148"/>
    <w:rsid w:val="004F31B2"/>
    <w:rsid w:val="004F34E6"/>
    <w:rsid w:val="004F37F1"/>
    <w:rsid w:val="004F37F5"/>
    <w:rsid w:val="004F3980"/>
    <w:rsid w:val="004F41BF"/>
    <w:rsid w:val="004F42A7"/>
    <w:rsid w:val="004F4EFE"/>
    <w:rsid w:val="004F536D"/>
    <w:rsid w:val="004F5602"/>
    <w:rsid w:val="004F5A09"/>
    <w:rsid w:val="004F5AAF"/>
    <w:rsid w:val="004F5DA6"/>
    <w:rsid w:val="004F5EC8"/>
    <w:rsid w:val="004F6433"/>
    <w:rsid w:val="004F66C0"/>
    <w:rsid w:val="004F68B9"/>
    <w:rsid w:val="004F68FF"/>
    <w:rsid w:val="004F6A3E"/>
    <w:rsid w:val="004F6A6C"/>
    <w:rsid w:val="004F6F30"/>
    <w:rsid w:val="004F7199"/>
    <w:rsid w:val="004F731D"/>
    <w:rsid w:val="004F780D"/>
    <w:rsid w:val="004F7A53"/>
    <w:rsid w:val="005001B2"/>
    <w:rsid w:val="00500A8B"/>
    <w:rsid w:val="00500B6F"/>
    <w:rsid w:val="00500D10"/>
    <w:rsid w:val="00500E32"/>
    <w:rsid w:val="0050154E"/>
    <w:rsid w:val="00501BD6"/>
    <w:rsid w:val="00501C2D"/>
    <w:rsid w:val="00502670"/>
    <w:rsid w:val="00502A0E"/>
    <w:rsid w:val="00503242"/>
    <w:rsid w:val="00503249"/>
    <w:rsid w:val="005035A8"/>
    <w:rsid w:val="00503700"/>
    <w:rsid w:val="0050370D"/>
    <w:rsid w:val="00503A3B"/>
    <w:rsid w:val="00503DFA"/>
    <w:rsid w:val="005042E7"/>
    <w:rsid w:val="00504580"/>
    <w:rsid w:val="005046E6"/>
    <w:rsid w:val="00504B11"/>
    <w:rsid w:val="00504C0A"/>
    <w:rsid w:val="00504E23"/>
    <w:rsid w:val="005051A3"/>
    <w:rsid w:val="005054A2"/>
    <w:rsid w:val="00505510"/>
    <w:rsid w:val="0050583E"/>
    <w:rsid w:val="00505941"/>
    <w:rsid w:val="00505E4E"/>
    <w:rsid w:val="0050633E"/>
    <w:rsid w:val="0050638F"/>
    <w:rsid w:val="00506569"/>
    <w:rsid w:val="0050673B"/>
    <w:rsid w:val="0050691A"/>
    <w:rsid w:val="00506A26"/>
    <w:rsid w:val="00506F76"/>
    <w:rsid w:val="00506F80"/>
    <w:rsid w:val="00507280"/>
    <w:rsid w:val="0050781D"/>
    <w:rsid w:val="0050787A"/>
    <w:rsid w:val="00507928"/>
    <w:rsid w:val="00507FE9"/>
    <w:rsid w:val="00507FF1"/>
    <w:rsid w:val="0051010A"/>
    <w:rsid w:val="0051019C"/>
    <w:rsid w:val="005103B2"/>
    <w:rsid w:val="005107D7"/>
    <w:rsid w:val="00510974"/>
    <w:rsid w:val="005109DB"/>
    <w:rsid w:val="00510AA9"/>
    <w:rsid w:val="00510C4F"/>
    <w:rsid w:val="00510CEB"/>
    <w:rsid w:val="005114E4"/>
    <w:rsid w:val="00511BF9"/>
    <w:rsid w:val="00512C6F"/>
    <w:rsid w:val="00512D19"/>
    <w:rsid w:val="00512EF5"/>
    <w:rsid w:val="00513365"/>
    <w:rsid w:val="00513CD4"/>
    <w:rsid w:val="00513D45"/>
    <w:rsid w:val="00514492"/>
    <w:rsid w:val="0051456C"/>
    <w:rsid w:val="00514652"/>
    <w:rsid w:val="00514721"/>
    <w:rsid w:val="00514C27"/>
    <w:rsid w:val="00515688"/>
    <w:rsid w:val="00515868"/>
    <w:rsid w:val="00515D78"/>
    <w:rsid w:val="0051620F"/>
    <w:rsid w:val="0051642E"/>
    <w:rsid w:val="00516666"/>
    <w:rsid w:val="00516879"/>
    <w:rsid w:val="00516B35"/>
    <w:rsid w:val="0051710A"/>
    <w:rsid w:val="00517339"/>
    <w:rsid w:val="005178AD"/>
    <w:rsid w:val="005179E4"/>
    <w:rsid w:val="00517B88"/>
    <w:rsid w:val="00517FE7"/>
    <w:rsid w:val="0052001A"/>
    <w:rsid w:val="00520B2B"/>
    <w:rsid w:val="00520D70"/>
    <w:rsid w:val="00520FBF"/>
    <w:rsid w:val="0052176F"/>
    <w:rsid w:val="00521B37"/>
    <w:rsid w:val="00521C56"/>
    <w:rsid w:val="00521E2F"/>
    <w:rsid w:val="005224B1"/>
    <w:rsid w:val="00522B14"/>
    <w:rsid w:val="005231E9"/>
    <w:rsid w:val="00523347"/>
    <w:rsid w:val="005238E3"/>
    <w:rsid w:val="00523B42"/>
    <w:rsid w:val="00523E9B"/>
    <w:rsid w:val="00523F53"/>
    <w:rsid w:val="00524016"/>
    <w:rsid w:val="0052488D"/>
    <w:rsid w:val="00524D51"/>
    <w:rsid w:val="005250A0"/>
    <w:rsid w:val="005252D2"/>
    <w:rsid w:val="00525667"/>
    <w:rsid w:val="0052593C"/>
    <w:rsid w:val="00525BC4"/>
    <w:rsid w:val="0052687B"/>
    <w:rsid w:val="00526A46"/>
    <w:rsid w:val="00526C5F"/>
    <w:rsid w:val="005270F9"/>
    <w:rsid w:val="00527122"/>
    <w:rsid w:val="0052729E"/>
    <w:rsid w:val="0052740F"/>
    <w:rsid w:val="00527956"/>
    <w:rsid w:val="00527AD0"/>
    <w:rsid w:val="00527E47"/>
    <w:rsid w:val="005303D5"/>
    <w:rsid w:val="00530437"/>
    <w:rsid w:val="005305E7"/>
    <w:rsid w:val="00530B8F"/>
    <w:rsid w:val="00530D01"/>
    <w:rsid w:val="0053111F"/>
    <w:rsid w:val="005313BD"/>
    <w:rsid w:val="00531654"/>
    <w:rsid w:val="00531899"/>
    <w:rsid w:val="005319CA"/>
    <w:rsid w:val="00531DAF"/>
    <w:rsid w:val="0053202A"/>
    <w:rsid w:val="00532113"/>
    <w:rsid w:val="005322DB"/>
    <w:rsid w:val="00532653"/>
    <w:rsid w:val="0053275D"/>
    <w:rsid w:val="0053287F"/>
    <w:rsid w:val="00532ABC"/>
    <w:rsid w:val="00533220"/>
    <w:rsid w:val="00533F23"/>
    <w:rsid w:val="0053427B"/>
    <w:rsid w:val="00534795"/>
    <w:rsid w:val="0053490A"/>
    <w:rsid w:val="005350B2"/>
    <w:rsid w:val="005353B0"/>
    <w:rsid w:val="00535773"/>
    <w:rsid w:val="00535806"/>
    <w:rsid w:val="005359D3"/>
    <w:rsid w:val="00535B28"/>
    <w:rsid w:val="00535DF6"/>
    <w:rsid w:val="00535F32"/>
    <w:rsid w:val="00536000"/>
    <w:rsid w:val="005363EE"/>
    <w:rsid w:val="0053712B"/>
    <w:rsid w:val="005378D1"/>
    <w:rsid w:val="0053790C"/>
    <w:rsid w:val="005379DB"/>
    <w:rsid w:val="00540010"/>
    <w:rsid w:val="00540B5D"/>
    <w:rsid w:val="00540D30"/>
    <w:rsid w:val="00540E99"/>
    <w:rsid w:val="0054107E"/>
    <w:rsid w:val="005414F7"/>
    <w:rsid w:val="00541865"/>
    <w:rsid w:val="00541CC8"/>
    <w:rsid w:val="00541DEA"/>
    <w:rsid w:val="00541FA9"/>
    <w:rsid w:val="00542185"/>
    <w:rsid w:val="005423CB"/>
    <w:rsid w:val="00542660"/>
    <w:rsid w:val="005427A0"/>
    <w:rsid w:val="00542977"/>
    <w:rsid w:val="0054298B"/>
    <w:rsid w:val="005429CD"/>
    <w:rsid w:val="00542A29"/>
    <w:rsid w:val="00542A88"/>
    <w:rsid w:val="00542D00"/>
    <w:rsid w:val="005433A9"/>
    <w:rsid w:val="005433D3"/>
    <w:rsid w:val="005440ED"/>
    <w:rsid w:val="00544514"/>
    <w:rsid w:val="00544E46"/>
    <w:rsid w:val="00545181"/>
    <w:rsid w:val="005452B3"/>
    <w:rsid w:val="0054574D"/>
    <w:rsid w:val="00545C83"/>
    <w:rsid w:val="00545C92"/>
    <w:rsid w:val="00545DA9"/>
    <w:rsid w:val="00545FDE"/>
    <w:rsid w:val="005460E7"/>
    <w:rsid w:val="00546465"/>
    <w:rsid w:val="005465F6"/>
    <w:rsid w:val="00546785"/>
    <w:rsid w:val="005467C5"/>
    <w:rsid w:val="00546AFD"/>
    <w:rsid w:val="00546C8B"/>
    <w:rsid w:val="00546D5A"/>
    <w:rsid w:val="0054718B"/>
    <w:rsid w:val="00547C5A"/>
    <w:rsid w:val="00547E31"/>
    <w:rsid w:val="00547EB6"/>
    <w:rsid w:val="0055005F"/>
    <w:rsid w:val="0055050F"/>
    <w:rsid w:val="0055124A"/>
    <w:rsid w:val="00551724"/>
    <w:rsid w:val="00551A33"/>
    <w:rsid w:val="00551A36"/>
    <w:rsid w:val="00551BE7"/>
    <w:rsid w:val="0055229F"/>
    <w:rsid w:val="0055247A"/>
    <w:rsid w:val="0055263C"/>
    <w:rsid w:val="00552BBC"/>
    <w:rsid w:val="00552CF2"/>
    <w:rsid w:val="00553665"/>
    <w:rsid w:val="00553725"/>
    <w:rsid w:val="005538E7"/>
    <w:rsid w:val="00553BBF"/>
    <w:rsid w:val="005548CB"/>
    <w:rsid w:val="00554D0A"/>
    <w:rsid w:val="0055515A"/>
    <w:rsid w:val="005553C6"/>
    <w:rsid w:val="00555A83"/>
    <w:rsid w:val="005565FC"/>
    <w:rsid w:val="00557710"/>
    <w:rsid w:val="005578A5"/>
    <w:rsid w:val="005578CC"/>
    <w:rsid w:val="005601FC"/>
    <w:rsid w:val="005603E9"/>
    <w:rsid w:val="005605B9"/>
    <w:rsid w:val="00560CDA"/>
    <w:rsid w:val="00560F13"/>
    <w:rsid w:val="005613F5"/>
    <w:rsid w:val="00561AAE"/>
    <w:rsid w:val="00561E40"/>
    <w:rsid w:val="005626E5"/>
    <w:rsid w:val="00562827"/>
    <w:rsid w:val="005628F0"/>
    <w:rsid w:val="00562993"/>
    <w:rsid w:val="00562A88"/>
    <w:rsid w:val="005633E7"/>
    <w:rsid w:val="005636DC"/>
    <w:rsid w:val="00563CBF"/>
    <w:rsid w:val="0056443B"/>
    <w:rsid w:val="005646EE"/>
    <w:rsid w:val="0056577B"/>
    <w:rsid w:val="005658BF"/>
    <w:rsid w:val="005659DF"/>
    <w:rsid w:val="00565E71"/>
    <w:rsid w:val="00566AA1"/>
    <w:rsid w:val="00566AA9"/>
    <w:rsid w:val="00566AFD"/>
    <w:rsid w:val="00567426"/>
    <w:rsid w:val="00567461"/>
    <w:rsid w:val="0057068F"/>
    <w:rsid w:val="005707EC"/>
    <w:rsid w:val="00570C6F"/>
    <w:rsid w:val="00570F52"/>
    <w:rsid w:val="0057176D"/>
    <w:rsid w:val="00571918"/>
    <w:rsid w:val="0057250C"/>
    <w:rsid w:val="005726A2"/>
    <w:rsid w:val="005728C1"/>
    <w:rsid w:val="00572C80"/>
    <w:rsid w:val="00573185"/>
    <w:rsid w:val="005731A9"/>
    <w:rsid w:val="00573437"/>
    <w:rsid w:val="00573602"/>
    <w:rsid w:val="00573A6B"/>
    <w:rsid w:val="00573F4D"/>
    <w:rsid w:val="00574188"/>
    <w:rsid w:val="0057437B"/>
    <w:rsid w:val="005748CC"/>
    <w:rsid w:val="00574B53"/>
    <w:rsid w:val="00574C12"/>
    <w:rsid w:val="00575565"/>
    <w:rsid w:val="00575816"/>
    <w:rsid w:val="0057595D"/>
    <w:rsid w:val="00575994"/>
    <w:rsid w:val="00575EFE"/>
    <w:rsid w:val="00576513"/>
    <w:rsid w:val="0057662F"/>
    <w:rsid w:val="005768A5"/>
    <w:rsid w:val="00576A3E"/>
    <w:rsid w:val="00576A6B"/>
    <w:rsid w:val="0057773A"/>
    <w:rsid w:val="0058091D"/>
    <w:rsid w:val="00580A3C"/>
    <w:rsid w:val="00580C5D"/>
    <w:rsid w:val="005810A8"/>
    <w:rsid w:val="005812CC"/>
    <w:rsid w:val="005815AF"/>
    <w:rsid w:val="00581A67"/>
    <w:rsid w:val="00581C70"/>
    <w:rsid w:val="0058212B"/>
    <w:rsid w:val="00582198"/>
    <w:rsid w:val="005821A5"/>
    <w:rsid w:val="00582605"/>
    <w:rsid w:val="00582858"/>
    <w:rsid w:val="0058294F"/>
    <w:rsid w:val="00582A7F"/>
    <w:rsid w:val="0058340F"/>
    <w:rsid w:val="0058375B"/>
    <w:rsid w:val="005839A2"/>
    <w:rsid w:val="00584217"/>
    <w:rsid w:val="0058485E"/>
    <w:rsid w:val="0058510C"/>
    <w:rsid w:val="005851FE"/>
    <w:rsid w:val="0058570C"/>
    <w:rsid w:val="00585872"/>
    <w:rsid w:val="00585993"/>
    <w:rsid w:val="00585A73"/>
    <w:rsid w:val="00585C82"/>
    <w:rsid w:val="00586133"/>
    <w:rsid w:val="00586638"/>
    <w:rsid w:val="00586674"/>
    <w:rsid w:val="00586900"/>
    <w:rsid w:val="00586ADB"/>
    <w:rsid w:val="00586BD2"/>
    <w:rsid w:val="00586C18"/>
    <w:rsid w:val="00586DBF"/>
    <w:rsid w:val="00586F82"/>
    <w:rsid w:val="0058712A"/>
    <w:rsid w:val="005873A7"/>
    <w:rsid w:val="00590583"/>
    <w:rsid w:val="00590962"/>
    <w:rsid w:val="005910E4"/>
    <w:rsid w:val="005912C6"/>
    <w:rsid w:val="00591698"/>
    <w:rsid w:val="00591F84"/>
    <w:rsid w:val="005922E0"/>
    <w:rsid w:val="00592661"/>
    <w:rsid w:val="00593374"/>
    <w:rsid w:val="00593409"/>
    <w:rsid w:val="0059366C"/>
    <w:rsid w:val="00593B29"/>
    <w:rsid w:val="00593E23"/>
    <w:rsid w:val="00593EA7"/>
    <w:rsid w:val="0059433B"/>
    <w:rsid w:val="005949BC"/>
    <w:rsid w:val="00594E82"/>
    <w:rsid w:val="00595403"/>
    <w:rsid w:val="00595FCC"/>
    <w:rsid w:val="005964DD"/>
    <w:rsid w:val="00596C1E"/>
    <w:rsid w:val="00597231"/>
    <w:rsid w:val="0059766A"/>
    <w:rsid w:val="005976AB"/>
    <w:rsid w:val="005A03CF"/>
    <w:rsid w:val="005A0640"/>
    <w:rsid w:val="005A0A25"/>
    <w:rsid w:val="005A1296"/>
    <w:rsid w:val="005A1359"/>
    <w:rsid w:val="005A17DA"/>
    <w:rsid w:val="005A1B01"/>
    <w:rsid w:val="005A2249"/>
    <w:rsid w:val="005A2257"/>
    <w:rsid w:val="005A22AA"/>
    <w:rsid w:val="005A277F"/>
    <w:rsid w:val="005A2C23"/>
    <w:rsid w:val="005A39E9"/>
    <w:rsid w:val="005A3B4D"/>
    <w:rsid w:val="005A410C"/>
    <w:rsid w:val="005A4348"/>
    <w:rsid w:val="005A46CE"/>
    <w:rsid w:val="005A4894"/>
    <w:rsid w:val="005A49F5"/>
    <w:rsid w:val="005A4C51"/>
    <w:rsid w:val="005A4CF2"/>
    <w:rsid w:val="005A4D2E"/>
    <w:rsid w:val="005A4F3D"/>
    <w:rsid w:val="005A5193"/>
    <w:rsid w:val="005A5E9C"/>
    <w:rsid w:val="005A637D"/>
    <w:rsid w:val="005A651F"/>
    <w:rsid w:val="005A6D19"/>
    <w:rsid w:val="005A6F66"/>
    <w:rsid w:val="005A6FD9"/>
    <w:rsid w:val="005A7F2F"/>
    <w:rsid w:val="005B06DE"/>
    <w:rsid w:val="005B0A8A"/>
    <w:rsid w:val="005B0F59"/>
    <w:rsid w:val="005B0FE6"/>
    <w:rsid w:val="005B13FE"/>
    <w:rsid w:val="005B1D19"/>
    <w:rsid w:val="005B1EF1"/>
    <w:rsid w:val="005B1F8E"/>
    <w:rsid w:val="005B203E"/>
    <w:rsid w:val="005B260D"/>
    <w:rsid w:val="005B29B4"/>
    <w:rsid w:val="005B2BF7"/>
    <w:rsid w:val="005B2C89"/>
    <w:rsid w:val="005B2CAD"/>
    <w:rsid w:val="005B372F"/>
    <w:rsid w:val="005B393F"/>
    <w:rsid w:val="005B3FD3"/>
    <w:rsid w:val="005B437D"/>
    <w:rsid w:val="005B4432"/>
    <w:rsid w:val="005B4467"/>
    <w:rsid w:val="005B4C29"/>
    <w:rsid w:val="005B50B2"/>
    <w:rsid w:val="005B5156"/>
    <w:rsid w:val="005B5983"/>
    <w:rsid w:val="005B61C7"/>
    <w:rsid w:val="005B635D"/>
    <w:rsid w:val="005B676C"/>
    <w:rsid w:val="005B684D"/>
    <w:rsid w:val="005B6A80"/>
    <w:rsid w:val="005B6B6B"/>
    <w:rsid w:val="005B6D5B"/>
    <w:rsid w:val="005B6FC7"/>
    <w:rsid w:val="005B7207"/>
    <w:rsid w:val="005B722C"/>
    <w:rsid w:val="005B7322"/>
    <w:rsid w:val="005B757D"/>
    <w:rsid w:val="005B7850"/>
    <w:rsid w:val="005B7905"/>
    <w:rsid w:val="005B7B8C"/>
    <w:rsid w:val="005B7D4D"/>
    <w:rsid w:val="005C0177"/>
    <w:rsid w:val="005C017E"/>
    <w:rsid w:val="005C01A6"/>
    <w:rsid w:val="005C01E8"/>
    <w:rsid w:val="005C0358"/>
    <w:rsid w:val="005C040F"/>
    <w:rsid w:val="005C06C9"/>
    <w:rsid w:val="005C07E5"/>
    <w:rsid w:val="005C09AA"/>
    <w:rsid w:val="005C0AFD"/>
    <w:rsid w:val="005C0B60"/>
    <w:rsid w:val="005C1184"/>
    <w:rsid w:val="005C1930"/>
    <w:rsid w:val="005C1E34"/>
    <w:rsid w:val="005C20E4"/>
    <w:rsid w:val="005C24DF"/>
    <w:rsid w:val="005C2580"/>
    <w:rsid w:val="005C2B21"/>
    <w:rsid w:val="005C30EB"/>
    <w:rsid w:val="005C311E"/>
    <w:rsid w:val="005C3122"/>
    <w:rsid w:val="005C3443"/>
    <w:rsid w:val="005C3D0C"/>
    <w:rsid w:val="005C3D18"/>
    <w:rsid w:val="005C41EE"/>
    <w:rsid w:val="005C4479"/>
    <w:rsid w:val="005C46DE"/>
    <w:rsid w:val="005C4913"/>
    <w:rsid w:val="005C4BC5"/>
    <w:rsid w:val="005C502C"/>
    <w:rsid w:val="005C5371"/>
    <w:rsid w:val="005C53EB"/>
    <w:rsid w:val="005C5517"/>
    <w:rsid w:val="005C5963"/>
    <w:rsid w:val="005C59E9"/>
    <w:rsid w:val="005C5A78"/>
    <w:rsid w:val="005C5AF0"/>
    <w:rsid w:val="005C5B5D"/>
    <w:rsid w:val="005C62FE"/>
    <w:rsid w:val="005C68ED"/>
    <w:rsid w:val="005C6C0C"/>
    <w:rsid w:val="005C6DA1"/>
    <w:rsid w:val="005C6ED2"/>
    <w:rsid w:val="005C7066"/>
    <w:rsid w:val="005C73B7"/>
    <w:rsid w:val="005C760C"/>
    <w:rsid w:val="005C7E01"/>
    <w:rsid w:val="005C7FA2"/>
    <w:rsid w:val="005C7FCB"/>
    <w:rsid w:val="005D0334"/>
    <w:rsid w:val="005D0D13"/>
    <w:rsid w:val="005D0D29"/>
    <w:rsid w:val="005D142A"/>
    <w:rsid w:val="005D14FE"/>
    <w:rsid w:val="005D1563"/>
    <w:rsid w:val="005D1A2C"/>
    <w:rsid w:val="005D1B3F"/>
    <w:rsid w:val="005D1B9A"/>
    <w:rsid w:val="005D1F9C"/>
    <w:rsid w:val="005D23C5"/>
    <w:rsid w:val="005D29E0"/>
    <w:rsid w:val="005D2C73"/>
    <w:rsid w:val="005D34EE"/>
    <w:rsid w:val="005D372D"/>
    <w:rsid w:val="005D374C"/>
    <w:rsid w:val="005D3896"/>
    <w:rsid w:val="005D3C17"/>
    <w:rsid w:val="005D3D8B"/>
    <w:rsid w:val="005D428B"/>
    <w:rsid w:val="005D4505"/>
    <w:rsid w:val="005D4D50"/>
    <w:rsid w:val="005D5504"/>
    <w:rsid w:val="005D59A8"/>
    <w:rsid w:val="005D5B8F"/>
    <w:rsid w:val="005D5CFC"/>
    <w:rsid w:val="005D6115"/>
    <w:rsid w:val="005D659B"/>
    <w:rsid w:val="005D6644"/>
    <w:rsid w:val="005D6CDE"/>
    <w:rsid w:val="005D7355"/>
    <w:rsid w:val="005D7BE8"/>
    <w:rsid w:val="005E0074"/>
    <w:rsid w:val="005E04B1"/>
    <w:rsid w:val="005E051C"/>
    <w:rsid w:val="005E0DEF"/>
    <w:rsid w:val="005E144A"/>
    <w:rsid w:val="005E14F8"/>
    <w:rsid w:val="005E1B0D"/>
    <w:rsid w:val="005E1DE8"/>
    <w:rsid w:val="005E211F"/>
    <w:rsid w:val="005E21CD"/>
    <w:rsid w:val="005E236B"/>
    <w:rsid w:val="005E2B10"/>
    <w:rsid w:val="005E30E4"/>
    <w:rsid w:val="005E31FB"/>
    <w:rsid w:val="005E3659"/>
    <w:rsid w:val="005E3A22"/>
    <w:rsid w:val="005E3E83"/>
    <w:rsid w:val="005E405E"/>
    <w:rsid w:val="005E47F1"/>
    <w:rsid w:val="005E49C9"/>
    <w:rsid w:val="005E49F2"/>
    <w:rsid w:val="005E4A76"/>
    <w:rsid w:val="005E4BCB"/>
    <w:rsid w:val="005E4DE5"/>
    <w:rsid w:val="005E5049"/>
    <w:rsid w:val="005E5493"/>
    <w:rsid w:val="005E54E5"/>
    <w:rsid w:val="005E5645"/>
    <w:rsid w:val="005E56A7"/>
    <w:rsid w:val="005E6169"/>
    <w:rsid w:val="005E682F"/>
    <w:rsid w:val="005E6943"/>
    <w:rsid w:val="005E6E35"/>
    <w:rsid w:val="005E74F7"/>
    <w:rsid w:val="005E75AE"/>
    <w:rsid w:val="005E776F"/>
    <w:rsid w:val="005E7E32"/>
    <w:rsid w:val="005E7EC7"/>
    <w:rsid w:val="005F00E1"/>
    <w:rsid w:val="005F0281"/>
    <w:rsid w:val="005F05B3"/>
    <w:rsid w:val="005F0A71"/>
    <w:rsid w:val="005F0FA6"/>
    <w:rsid w:val="005F12BF"/>
    <w:rsid w:val="005F1439"/>
    <w:rsid w:val="005F14D9"/>
    <w:rsid w:val="005F1D76"/>
    <w:rsid w:val="005F2083"/>
    <w:rsid w:val="005F21D7"/>
    <w:rsid w:val="005F2274"/>
    <w:rsid w:val="005F24B1"/>
    <w:rsid w:val="005F2658"/>
    <w:rsid w:val="005F2A77"/>
    <w:rsid w:val="005F2D2F"/>
    <w:rsid w:val="005F2EB4"/>
    <w:rsid w:val="005F3116"/>
    <w:rsid w:val="005F32EA"/>
    <w:rsid w:val="005F3A8B"/>
    <w:rsid w:val="005F3EC5"/>
    <w:rsid w:val="005F409C"/>
    <w:rsid w:val="005F4266"/>
    <w:rsid w:val="005F44FB"/>
    <w:rsid w:val="005F45A1"/>
    <w:rsid w:val="005F45B6"/>
    <w:rsid w:val="005F47DC"/>
    <w:rsid w:val="005F48FB"/>
    <w:rsid w:val="005F4BD8"/>
    <w:rsid w:val="005F4C9F"/>
    <w:rsid w:val="005F5083"/>
    <w:rsid w:val="005F5114"/>
    <w:rsid w:val="005F5B30"/>
    <w:rsid w:val="005F5B75"/>
    <w:rsid w:val="005F5E5C"/>
    <w:rsid w:val="005F5ED6"/>
    <w:rsid w:val="005F6074"/>
    <w:rsid w:val="005F60FE"/>
    <w:rsid w:val="005F65D1"/>
    <w:rsid w:val="005F6BF3"/>
    <w:rsid w:val="005F6FAE"/>
    <w:rsid w:val="00600334"/>
    <w:rsid w:val="00600909"/>
    <w:rsid w:val="00600925"/>
    <w:rsid w:val="00600A89"/>
    <w:rsid w:val="00600FA1"/>
    <w:rsid w:val="006014D0"/>
    <w:rsid w:val="006017C8"/>
    <w:rsid w:val="00601D10"/>
    <w:rsid w:val="00601F06"/>
    <w:rsid w:val="006023AA"/>
    <w:rsid w:val="006023B5"/>
    <w:rsid w:val="006027DB"/>
    <w:rsid w:val="00602838"/>
    <w:rsid w:val="00602A6E"/>
    <w:rsid w:val="00602F20"/>
    <w:rsid w:val="00603859"/>
    <w:rsid w:val="00604125"/>
    <w:rsid w:val="006045E2"/>
    <w:rsid w:val="00604CF1"/>
    <w:rsid w:val="00604FA2"/>
    <w:rsid w:val="006053AA"/>
    <w:rsid w:val="00605E57"/>
    <w:rsid w:val="00605F4F"/>
    <w:rsid w:val="006069B5"/>
    <w:rsid w:val="00606C67"/>
    <w:rsid w:val="006075E0"/>
    <w:rsid w:val="00607C9D"/>
    <w:rsid w:val="00607CB5"/>
    <w:rsid w:val="00607F13"/>
    <w:rsid w:val="00607FBA"/>
    <w:rsid w:val="00610162"/>
    <w:rsid w:val="006105DB"/>
    <w:rsid w:val="0061095B"/>
    <w:rsid w:val="00610A57"/>
    <w:rsid w:val="00611572"/>
    <w:rsid w:val="0061178C"/>
    <w:rsid w:val="00611A60"/>
    <w:rsid w:val="00611F4A"/>
    <w:rsid w:val="006120A6"/>
    <w:rsid w:val="00612D55"/>
    <w:rsid w:val="00612DBD"/>
    <w:rsid w:val="00612F93"/>
    <w:rsid w:val="006130F3"/>
    <w:rsid w:val="00613B40"/>
    <w:rsid w:val="00614629"/>
    <w:rsid w:val="006146A2"/>
    <w:rsid w:val="00614EEC"/>
    <w:rsid w:val="006153CC"/>
    <w:rsid w:val="00615FBF"/>
    <w:rsid w:val="00616421"/>
    <w:rsid w:val="00616653"/>
    <w:rsid w:val="00616B89"/>
    <w:rsid w:val="00617035"/>
    <w:rsid w:val="0061717E"/>
    <w:rsid w:val="006171B6"/>
    <w:rsid w:val="00621052"/>
    <w:rsid w:val="0062121F"/>
    <w:rsid w:val="006213E8"/>
    <w:rsid w:val="00621F06"/>
    <w:rsid w:val="00622425"/>
    <w:rsid w:val="006225CE"/>
    <w:rsid w:val="00622669"/>
    <w:rsid w:val="00622D47"/>
    <w:rsid w:val="00622EE2"/>
    <w:rsid w:val="006231A0"/>
    <w:rsid w:val="00623390"/>
    <w:rsid w:val="006235B3"/>
    <w:rsid w:val="00623721"/>
    <w:rsid w:val="0062376C"/>
    <w:rsid w:val="00623AD1"/>
    <w:rsid w:val="00623E38"/>
    <w:rsid w:val="00623EA7"/>
    <w:rsid w:val="00623F58"/>
    <w:rsid w:val="006240AC"/>
    <w:rsid w:val="00624226"/>
    <w:rsid w:val="00624441"/>
    <w:rsid w:val="00624505"/>
    <w:rsid w:val="0062468A"/>
    <w:rsid w:val="0062493C"/>
    <w:rsid w:val="0062525A"/>
    <w:rsid w:val="006257B0"/>
    <w:rsid w:val="00625ABB"/>
    <w:rsid w:val="00626530"/>
    <w:rsid w:val="00626534"/>
    <w:rsid w:val="0062661D"/>
    <w:rsid w:val="00626B8B"/>
    <w:rsid w:val="006274BC"/>
    <w:rsid w:val="00627587"/>
    <w:rsid w:val="006279E7"/>
    <w:rsid w:val="00630364"/>
    <w:rsid w:val="00630598"/>
    <w:rsid w:val="006306CB"/>
    <w:rsid w:val="00630E43"/>
    <w:rsid w:val="00631267"/>
    <w:rsid w:val="006312DA"/>
    <w:rsid w:val="00631629"/>
    <w:rsid w:val="00631857"/>
    <w:rsid w:val="00631BFF"/>
    <w:rsid w:val="00631D47"/>
    <w:rsid w:val="00631E55"/>
    <w:rsid w:val="006322EC"/>
    <w:rsid w:val="0063262D"/>
    <w:rsid w:val="00632884"/>
    <w:rsid w:val="00632915"/>
    <w:rsid w:val="00632CB8"/>
    <w:rsid w:val="00632DAF"/>
    <w:rsid w:val="0063327D"/>
    <w:rsid w:val="006336DF"/>
    <w:rsid w:val="00633A7B"/>
    <w:rsid w:val="00633B37"/>
    <w:rsid w:val="00633CD3"/>
    <w:rsid w:val="00633DBE"/>
    <w:rsid w:val="00633F39"/>
    <w:rsid w:val="00634027"/>
    <w:rsid w:val="0063454C"/>
    <w:rsid w:val="00634659"/>
    <w:rsid w:val="00634717"/>
    <w:rsid w:val="006348AC"/>
    <w:rsid w:val="00634B82"/>
    <w:rsid w:val="0063550C"/>
    <w:rsid w:val="006355A7"/>
    <w:rsid w:val="0063592A"/>
    <w:rsid w:val="00635B95"/>
    <w:rsid w:val="00635D62"/>
    <w:rsid w:val="00636199"/>
    <w:rsid w:val="006362AB"/>
    <w:rsid w:val="006362B6"/>
    <w:rsid w:val="006366BA"/>
    <w:rsid w:val="0063686D"/>
    <w:rsid w:val="00636AC6"/>
    <w:rsid w:val="00636CC5"/>
    <w:rsid w:val="00636E67"/>
    <w:rsid w:val="00636F8A"/>
    <w:rsid w:val="00636FEA"/>
    <w:rsid w:val="006373A6"/>
    <w:rsid w:val="006376BB"/>
    <w:rsid w:val="0063780F"/>
    <w:rsid w:val="00637EF9"/>
    <w:rsid w:val="00640642"/>
    <w:rsid w:val="006409FB"/>
    <w:rsid w:val="00640AAE"/>
    <w:rsid w:val="00640C22"/>
    <w:rsid w:val="00640DDF"/>
    <w:rsid w:val="0064106E"/>
    <w:rsid w:val="00641541"/>
    <w:rsid w:val="006416F0"/>
    <w:rsid w:val="00641B2A"/>
    <w:rsid w:val="00641E05"/>
    <w:rsid w:val="006420C5"/>
    <w:rsid w:val="00642533"/>
    <w:rsid w:val="00642D57"/>
    <w:rsid w:val="00642E93"/>
    <w:rsid w:val="00642F20"/>
    <w:rsid w:val="00643536"/>
    <w:rsid w:val="00643583"/>
    <w:rsid w:val="00643706"/>
    <w:rsid w:val="006437DB"/>
    <w:rsid w:val="00643834"/>
    <w:rsid w:val="00643E5B"/>
    <w:rsid w:val="0064425A"/>
    <w:rsid w:val="00644409"/>
    <w:rsid w:val="006446ED"/>
    <w:rsid w:val="00644C9D"/>
    <w:rsid w:val="006453AA"/>
    <w:rsid w:val="00645E22"/>
    <w:rsid w:val="0064603C"/>
    <w:rsid w:val="006465D0"/>
    <w:rsid w:val="006466CA"/>
    <w:rsid w:val="006468EC"/>
    <w:rsid w:val="0064706A"/>
    <w:rsid w:val="00647070"/>
    <w:rsid w:val="0064719E"/>
    <w:rsid w:val="0064750C"/>
    <w:rsid w:val="0064753C"/>
    <w:rsid w:val="006478F9"/>
    <w:rsid w:val="00647C3A"/>
    <w:rsid w:val="00647EA8"/>
    <w:rsid w:val="00650105"/>
    <w:rsid w:val="0065036C"/>
    <w:rsid w:val="0065036D"/>
    <w:rsid w:val="00650649"/>
    <w:rsid w:val="006506D2"/>
    <w:rsid w:val="006507AA"/>
    <w:rsid w:val="00650830"/>
    <w:rsid w:val="00650D8A"/>
    <w:rsid w:val="00651110"/>
    <w:rsid w:val="00651369"/>
    <w:rsid w:val="00651585"/>
    <w:rsid w:val="00651683"/>
    <w:rsid w:val="006521F2"/>
    <w:rsid w:val="00652685"/>
    <w:rsid w:val="006528DB"/>
    <w:rsid w:val="00652C5A"/>
    <w:rsid w:val="006530AA"/>
    <w:rsid w:val="006532DB"/>
    <w:rsid w:val="006534E8"/>
    <w:rsid w:val="0065371C"/>
    <w:rsid w:val="006537DC"/>
    <w:rsid w:val="00653B0C"/>
    <w:rsid w:val="00653DF0"/>
    <w:rsid w:val="00654029"/>
    <w:rsid w:val="006541CE"/>
    <w:rsid w:val="00654411"/>
    <w:rsid w:val="00654A7A"/>
    <w:rsid w:val="00654A92"/>
    <w:rsid w:val="006554DA"/>
    <w:rsid w:val="0065591D"/>
    <w:rsid w:val="00655C13"/>
    <w:rsid w:val="00655EED"/>
    <w:rsid w:val="00656419"/>
    <w:rsid w:val="006565DB"/>
    <w:rsid w:val="006566EC"/>
    <w:rsid w:val="00656B27"/>
    <w:rsid w:val="00656B5D"/>
    <w:rsid w:val="00656B7C"/>
    <w:rsid w:val="00656DFF"/>
    <w:rsid w:val="006572F1"/>
    <w:rsid w:val="0065756C"/>
    <w:rsid w:val="00657FE1"/>
    <w:rsid w:val="00660050"/>
    <w:rsid w:val="006601CF"/>
    <w:rsid w:val="006601E9"/>
    <w:rsid w:val="00660397"/>
    <w:rsid w:val="00660DCD"/>
    <w:rsid w:val="0066130A"/>
    <w:rsid w:val="00661373"/>
    <w:rsid w:val="0066158B"/>
    <w:rsid w:val="00661B12"/>
    <w:rsid w:val="00661D43"/>
    <w:rsid w:val="00661E42"/>
    <w:rsid w:val="00661F48"/>
    <w:rsid w:val="006621C9"/>
    <w:rsid w:val="0066234E"/>
    <w:rsid w:val="006624BB"/>
    <w:rsid w:val="00662578"/>
    <w:rsid w:val="0066294F"/>
    <w:rsid w:val="00662975"/>
    <w:rsid w:val="00662B68"/>
    <w:rsid w:val="006633D3"/>
    <w:rsid w:val="00663AAE"/>
    <w:rsid w:val="00663C6E"/>
    <w:rsid w:val="00663E43"/>
    <w:rsid w:val="00664104"/>
    <w:rsid w:val="006645E0"/>
    <w:rsid w:val="006647BE"/>
    <w:rsid w:val="0066485F"/>
    <w:rsid w:val="00664C71"/>
    <w:rsid w:val="00664CCE"/>
    <w:rsid w:val="00664FE7"/>
    <w:rsid w:val="00665093"/>
    <w:rsid w:val="00665112"/>
    <w:rsid w:val="006651C7"/>
    <w:rsid w:val="0066520B"/>
    <w:rsid w:val="006654F9"/>
    <w:rsid w:val="0066574C"/>
    <w:rsid w:val="00665D41"/>
    <w:rsid w:val="00665D51"/>
    <w:rsid w:val="00665FDF"/>
    <w:rsid w:val="006664F1"/>
    <w:rsid w:val="00666820"/>
    <w:rsid w:val="00666944"/>
    <w:rsid w:val="0066696E"/>
    <w:rsid w:val="00666CE2"/>
    <w:rsid w:val="0066778B"/>
    <w:rsid w:val="00667ABC"/>
    <w:rsid w:val="00667ED4"/>
    <w:rsid w:val="00667EFC"/>
    <w:rsid w:val="00670023"/>
    <w:rsid w:val="00670358"/>
    <w:rsid w:val="006707B4"/>
    <w:rsid w:val="00670DD0"/>
    <w:rsid w:val="00670E18"/>
    <w:rsid w:val="0067127A"/>
    <w:rsid w:val="00671616"/>
    <w:rsid w:val="006716D2"/>
    <w:rsid w:val="0067182A"/>
    <w:rsid w:val="00672371"/>
    <w:rsid w:val="0067265B"/>
    <w:rsid w:val="00672A4C"/>
    <w:rsid w:val="006731C0"/>
    <w:rsid w:val="00673361"/>
    <w:rsid w:val="006735EA"/>
    <w:rsid w:val="006736D8"/>
    <w:rsid w:val="006737CD"/>
    <w:rsid w:val="006737D0"/>
    <w:rsid w:val="006737EA"/>
    <w:rsid w:val="00673E58"/>
    <w:rsid w:val="0067410E"/>
    <w:rsid w:val="006741D5"/>
    <w:rsid w:val="006744D5"/>
    <w:rsid w:val="00674511"/>
    <w:rsid w:val="0067458B"/>
    <w:rsid w:val="00674704"/>
    <w:rsid w:val="00674895"/>
    <w:rsid w:val="00674C60"/>
    <w:rsid w:val="00674FBE"/>
    <w:rsid w:val="006751C4"/>
    <w:rsid w:val="00675574"/>
    <w:rsid w:val="00675CF1"/>
    <w:rsid w:val="00675D2E"/>
    <w:rsid w:val="00675F07"/>
    <w:rsid w:val="00676045"/>
    <w:rsid w:val="006761AB"/>
    <w:rsid w:val="00676551"/>
    <w:rsid w:val="00676623"/>
    <w:rsid w:val="006768EC"/>
    <w:rsid w:val="0067693A"/>
    <w:rsid w:val="00676E5F"/>
    <w:rsid w:val="00677537"/>
    <w:rsid w:val="0067777B"/>
    <w:rsid w:val="00677786"/>
    <w:rsid w:val="006777B1"/>
    <w:rsid w:val="006779B7"/>
    <w:rsid w:val="00677FDC"/>
    <w:rsid w:val="00680094"/>
    <w:rsid w:val="006801E2"/>
    <w:rsid w:val="0068059B"/>
    <w:rsid w:val="00680BFD"/>
    <w:rsid w:val="00680C3D"/>
    <w:rsid w:val="00680C5C"/>
    <w:rsid w:val="00681420"/>
    <w:rsid w:val="00681545"/>
    <w:rsid w:val="00681D2E"/>
    <w:rsid w:val="00682445"/>
    <w:rsid w:val="00682581"/>
    <w:rsid w:val="006826AE"/>
    <w:rsid w:val="006826B9"/>
    <w:rsid w:val="0068280B"/>
    <w:rsid w:val="00682BC4"/>
    <w:rsid w:val="00682C98"/>
    <w:rsid w:val="00682F73"/>
    <w:rsid w:val="00683475"/>
    <w:rsid w:val="006834FA"/>
    <w:rsid w:val="00684236"/>
    <w:rsid w:val="00684360"/>
    <w:rsid w:val="0068438B"/>
    <w:rsid w:val="00684ADD"/>
    <w:rsid w:val="00684B68"/>
    <w:rsid w:val="00684C4E"/>
    <w:rsid w:val="00685C2F"/>
    <w:rsid w:val="00686608"/>
    <w:rsid w:val="0068669D"/>
    <w:rsid w:val="00686D66"/>
    <w:rsid w:val="00686EF1"/>
    <w:rsid w:val="006870EF"/>
    <w:rsid w:val="006871E1"/>
    <w:rsid w:val="00687642"/>
    <w:rsid w:val="0068783C"/>
    <w:rsid w:val="00687C3A"/>
    <w:rsid w:val="00690DA9"/>
    <w:rsid w:val="00691647"/>
    <w:rsid w:val="00691A32"/>
    <w:rsid w:val="006923AA"/>
    <w:rsid w:val="00692691"/>
    <w:rsid w:val="006926A9"/>
    <w:rsid w:val="00692B85"/>
    <w:rsid w:val="00692F73"/>
    <w:rsid w:val="0069366F"/>
    <w:rsid w:val="00693C02"/>
    <w:rsid w:val="00693C8A"/>
    <w:rsid w:val="00693FE7"/>
    <w:rsid w:val="0069429B"/>
    <w:rsid w:val="00694395"/>
    <w:rsid w:val="00694DFD"/>
    <w:rsid w:val="00694E50"/>
    <w:rsid w:val="00694FEA"/>
    <w:rsid w:val="00695A51"/>
    <w:rsid w:val="00695BBF"/>
    <w:rsid w:val="006965BB"/>
    <w:rsid w:val="006965BD"/>
    <w:rsid w:val="006965D7"/>
    <w:rsid w:val="00697303"/>
    <w:rsid w:val="006974AA"/>
    <w:rsid w:val="006975A4"/>
    <w:rsid w:val="00697954"/>
    <w:rsid w:val="00697A0E"/>
    <w:rsid w:val="00697AD0"/>
    <w:rsid w:val="006A0615"/>
    <w:rsid w:val="006A062C"/>
    <w:rsid w:val="006A0775"/>
    <w:rsid w:val="006A0B3B"/>
    <w:rsid w:val="006A0BCF"/>
    <w:rsid w:val="006A0D4F"/>
    <w:rsid w:val="006A112B"/>
    <w:rsid w:val="006A1B14"/>
    <w:rsid w:val="006A252E"/>
    <w:rsid w:val="006A2AF7"/>
    <w:rsid w:val="006A359F"/>
    <w:rsid w:val="006A3817"/>
    <w:rsid w:val="006A3835"/>
    <w:rsid w:val="006A386F"/>
    <w:rsid w:val="006A38A9"/>
    <w:rsid w:val="006A3C16"/>
    <w:rsid w:val="006A3FC7"/>
    <w:rsid w:val="006A43BD"/>
    <w:rsid w:val="006A45F0"/>
    <w:rsid w:val="006A48C1"/>
    <w:rsid w:val="006A4B28"/>
    <w:rsid w:val="006A4C2B"/>
    <w:rsid w:val="006A5183"/>
    <w:rsid w:val="006A53FA"/>
    <w:rsid w:val="006A5434"/>
    <w:rsid w:val="006A550F"/>
    <w:rsid w:val="006A554A"/>
    <w:rsid w:val="006A58D6"/>
    <w:rsid w:val="006A5D81"/>
    <w:rsid w:val="006A62A9"/>
    <w:rsid w:val="006A66C8"/>
    <w:rsid w:val="006A69A6"/>
    <w:rsid w:val="006A6D14"/>
    <w:rsid w:val="006A6EE8"/>
    <w:rsid w:val="006A6F0F"/>
    <w:rsid w:val="006A6F45"/>
    <w:rsid w:val="006A6FE2"/>
    <w:rsid w:val="006A7456"/>
    <w:rsid w:val="006A77F2"/>
    <w:rsid w:val="006A7D42"/>
    <w:rsid w:val="006B00D0"/>
    <w:rsid w:val="006B0C89"/>
    <w:rsid w:val="006B0DB7"/>
    <w:rsid w:val="006B0F6A"/>
    <w:rsid w:val="006B105E"/>
    <w:rsid w:val="006B13BD"/>
    <w:rsid w:val="006B1E80"/>
    <w:rsid w:val="006B1FB4"/>
    <w:rsid w:val="006B23B4"/>
    <w:rsid w:val="006B2682"/>
    <w:rsid w:val="006B277D"/>
    <w:rsid w:val="006B29ED"/>
    <w:rsid w:val="006B2EEE"/>
    <w:rsid w:val="006B3B66"/>
    <w:rsid w:val="006B3CFC"/>
    <w:rsid w:val="006B3E21"/>
    <w:rsid w:val="006B3E84"/>
    <w:rsid w:val="006B4052"/>
    <w:rsid w:val="006B455F"/>
    <w:rsid w:val="006B4656"/>
    <w:rsid w:val="006B4701"/>
    <w:rsid w:val="006B521A"/>
    <w:rsid w:val="006B522F"/>
    <w:rsid w:val="006B5ACB"/>
    <w:rsid w:val="006B5CF7"/>
    <w:rsid w:val="006B5D60"/>
    <w:rsid w:val="006B5D7F"/>
    <w:rsid w:val="006B5F1C"/>
    <w:rsid w:val="006B5FEB"/>
    <w:rsid w:val="006B6865"/>
    <w:rsid w:val="006B73E6"/>
    <w:rsid w:val="006B77F1"/>
    <w:rsid w:val="006B78C5"/>
    <w:rsid w:val="006B79AC"/>
    <w:rsid w:val="006B7D0E"/>
    <w:rsid w:val="006B7E0F"/>
    <w:rsid w:val="006C0F83"/>
    <w:rsid w:val="006C1596"/>
    <w:rsid w:val="006C1649"/>
    <w:rsid w:val="006C1855"/>
    <w:rsid w:val="006C1A46"/>
    <w:rsid w:val="006C222D"/>
    <w:rsid w:val="006C262A"/>
    <w:rsid w:val="006C2A62"/>
    <w:rsid w:val="006C3159"/>
    <w:rsid w:val="006C44A1"/>
    <w:rsid w:val="006C49D3"/>
    <w:rsid w:val="006C4E4B"/>
    <w:rsid w:val="006C539C"/>
    <w:rsid w:val="006C53B9"/>
    <w:rsid w:val="006C6025"/>
    <w:rsid w:val="006C610A"/>
    <w:rsid w:val="006C62D4"/>
    <w:rsid w:val="006C66F4"/>
    <w:rsid w:val="006C6C08"/>
    <w:rsid w:val="006C6D22"/>
    <w:rsid w:val="006C6DDE"/>
    <w:rsid w:val="006C6FC6"/>
    <w:rsid w:val="006C6FD1"/>
    <w:rsid w:val="006C7083"/>
    <w:rsid w:val="006C7379"/>
    <w:rsid w:val="006C7607"/>
    <w:rsid w:val="006C76DC"/>
    <w:rsid w:val="006C7BA3"/>
    <w:rsid w:val="006C7E25"/>
    <w:rsid w:val="006D0318"/>
    <w:rsid w:val="006D0587"/>
    <w:rsid w:val="006D0BFB"/>
    <w:rsid w:val="006D14D7"/>
    <w:rsid w:val="006D1962"/>
    <w:rsid w:val="006D1A1E"/>
    <w:rsid w:val="006D1E1B"/>
    <w:rsid w:val="006D2076"/>
    <w:rsid w:val="006D21C8"/>
    <w:rsid w:val="006D2D8A"/>
    <w:rsid w:val="006D2D98"/>
    <w:rsid w:val="006D2E0B"/>
    <w:rsid w:val="006D34E3"/>
    <w:rsid w:val="006D35B1"/>
    <w:rsid w:val="006D39CE"/>
    <w:rsid w:val="006D3AD7"/>
    <w:rsid w:val="006D3BFE"/>
    <w:rsid w:val="006D3F99"/>
    <w:rsid w:val="006D3FAE"/>
    <w:rsid w:val="006D4140"/>
    <w:rsid w:val="006D416F"/>
    <w:rsid w:val="006D4374"/>
    <w:rsid w:val="006D4436"/>
    <w:rsid w:val="006D44FB"/>
    <w:rsid w:val="006D4B9F"/>
    <w:rsid w:val="006D4C48"/>
    <w:rsid w:val="006D4F02"/>
    <w:rsid w:val="006D52F0"/>
    <w:rsid w:val="006D5320"/>
    <w:rsid w:val="006D5617"/>
    <w:rsid w:val="006D5B30"/>
    <w:rsid w:val="006D63B6"/>
    <w:rsid w:val="006D6543"/>
    <w:rsid w:val="006D6C75"/>
    <w:rsid w:val="006D6EE1"/>
    <w:rsid w:val="006D72F2"/>
    <w:rsid w:val="006D7363"/>
    <w:rsid w:val="006D785E"/>
    <w:rsid w:val="006D7A9E"/>
    <w:rsid w:val="006E03A6"/>
    <w:rsid w:val="006E0494"/>
    <w:rsid w:val="006E0977"/>
    <w:rsid w:val="006E098D"/>
    <w:rsid w:val="006E11DD"/>
    <w:rsid w:val="006E13A4"/>
    <w:rsid w:val="006E17DF"/>
    <w:rsid w:val="006E186E"/>
    <w:rsid w:val="006E1927"/>
    <w:rsid w:val="006E1A1C"/>
    <w:rsid w:val="006E1D72"/>
    <w:rsid w:val="006E20A8"/>
    <w:rsid w:val="006E24F0"/>
    <w:rsid w:val="006E2FDA"/>
    <w:rsid w:val="006E36D5"/>
    <w:rsid w:val="006E406B"/>
    <w:rsid w:val="006E44F7"/>
    <w:rsid w:val="006E4638"/>
    <w:rsid w:val="006E49C8"/>
    <w:rsid w:val="006E4B07"/>
    <w:rsid w:val="006E4B97"/>
    <w:rsid w:val="006E4E65"/>
    <w:rsid w:val="006E5431"/>
    <w:rsid w:val="006E5445"/>
    <w:rsid w:val="006E5F93"/>
    <w:rsid w:val="006E6E96"/>
    <w:rsid w:val="006E74E1"/>
    <w:rsid w:val="006E7568"/>
    <w:rsid w:val="006E7C8D"/>
    <w:rsid w:val="006E7E2D"/>
    <w:rsid w:val="006E7F8D"/>
    <w:rsid w:val="006F04E7"/>
    <w:rsid w:val="006F0705"/>
    <w:rsid w:val="006F0FA6"/>
    <w:rsid w:val="006F0FF5"/>
    <w:rsid w:val="006F15BC"/>
    <w:rsid w:val="006F1B02"/>
    <w:rsid w:val="006F1BF4"/>
    <w:rsid w:val="006F2009"/>
    <w:rsid w:val="006F2DA2"/>
    <w:rsid w:val="006F2DF2"/>
    <w:rsid w:val="006F3060"/>
    <w:rsid w:val="006F3272"/>
    <w:rsid w:val="006F337E"/>
    <w:rsid w:val="006F345D"/>
    <w:rsid w:val="006F367E"/>
    <w:rsid w:val="006F3B75"/>
    <w:rsid w:val="006F3CFD"/>
    <w:rsid w:val="006F45B2"/>
    <w:rsid w:val="006F473D"/>
    <w:rsid w:val="006F4849"/>
    <w:rsid w:val="006F4B5A"/>
    <w:rsid w:val="006F4E0F"/>
    <w:rsid w:val="006F4F9C"/>
    <w:rsid w:val="006F506E"/>
    <w:rsid w:val="006F5242"/>
    <w:rsid w:val="006F5257"/>
    <w:rsid w:val="006F5362"/>
    <w:rsid w:val="006F56BC"/>
    <w:rsid w:val="006F58A6"/>
    <w:rsid w:val="006F5C33"/>
    <w:rsid w:val="006F5D32"/>
    <w:rsid w:val="006F64C9"/>
    <w:rsid w:val="006F665A"/>
    <w:rsid w:val="006F6B72"/>
    <w:rsid w:val="006F744C"/>
    <w:rsid w:val="006F74DC"/>
    <w:rsid w:val="006F7C61"/>
    <w:rsid w:val="0070036C"/>
    <w:rsid w:val="00700374"/>
    <w:rsid w:val="007003B9"/>
    <w:rsid w:val="007009F9"/>
    <w:rsid w:val="007011CF"/>
    <w:rsid w:val="00701371"/>
    <w:rsid w:val="007013E3"/>
    <w:rsid w:val="007018DB"/>
    <w:rsid w:val="007027BA"/>
    <w:rsid w:val="00702D6A"/>
    <w:rsid w:val="00702F64"/>
    <w:rsid w:val="0070371A"/>
    <w:rsid w:val="00703AAA"/>
    <w:rsid w:val="007048BE"/>
    <w:rsid w:val="0070499A"/>
    <w:rsid w:val="00704E21"/>
    <w:rsid w:val="00704FCC"/>
    <w:rsid w:val="00705123"/>
    <w:rsid w:val="00705257"/>
    <w:rsid w:val="00705478"/>
    <w:rsid w:val="00705C47"/>
    <w:rsid w:val="0070628B"/>
    <w:rsid w:val="00706D9F"/>
    <w:rsid w:val="00707198"/>
    <w:rsid w:val="007076DD"/>
    <w:rsid w:val="00707854"/>
    <w:rsid w:val="00707C91"/>
    <w:rsid w:val="00707EE4"/>
    <w:rsid w:val="0071088A"/>
    <w:rsid w:val="007109D3"/>
    <w:rsid w:val="00710AA5"/>
    <w:rsid w:val="00710B5A"/>
    <w:rsid w:val="00710EA3"/>
    <w:rsid w:val="007116F5"/>
    <w:rsid w:val="00711AD9"/>
    <w:rsid w:val="00712014"/>
    <w:rsid w:val="007120A2"/>
    <w:rsid w:val="00712294"/>
    <w:rsid w:val="00712561"/>
    <w:rsid w:val="00712886"/>
    <w:rsid w:val="00712965"/>
    <w:rsid w:val="00712E75"/>
    <w:rsid w:val="00713254"/>
    <w:rsid w:val="00713948"/>
    <w:rsid w:val="00713955"/>
    <w:rsid w:val="0071410B"/>
    <w:rsid w:val="007143DC"/>
    <w:rsid w:val="00714890"/>
    <w:rsid w:val="00714945"/>
    <w:rsid w:val="00714B1B"/>
    <w:rsid w:val="00714D2D"/>
    <w:rsid w:val="00715076"/>
    <w:rsid w:val="0071591E"/>
    <w:rsid w:val="007159E0"/>
    <w:rsid w:val="00715C82"/>
    <w:rsid w:val="00715FA0"/>
    <w:rsid w:val="007160D5"/>
    <w:rsid w:val="007168B2"/>
    <w:rsid w:val="00716DC3"/>
    <w:rsid w:val="00716DD2"/>
    <w:rsid w:val="00717C0C"/>
    <w:rsid w:val="00717DA6"/>
    <w:rsid w:val="00720286"/>
    <w:rsid w:val="00720515"/>
    <w:rsid w:val="0072052E"/>
    <w:rsid w:val="00721357"/>
    <w:rsid w:val="0072156E"/>
    <w:rsid w:val="00721853"/>
    <w:rsid w:val="00721B81"/>
    <w:rsid w:val="00721FB0"/>
    <w:rsid w:val="00722616"/>
    <w:rsid w:val="00722B3E"/>
    <w:rsid w:val="00723057"/>
    <w:rsid w:val="0072331C"/>
    <w:rsid w:val="0072442C"/>
    <w:rsid w:val="00724445"/>
    <w:rsid w:val="0072520E"/>
    <w:rsid w:val="00725AB2"/>
    <w:rsid w:val="00725DA8"/>
    <w:rsid w:val="00725DC3"/>
    <w:rsid w:val="007266A0"/>
    <w:rsid w:val="007269BA"/>
    <w:rsid w:val="007272D3"/>
    <w:rsid w:val="007273AC"/>
    <w:rsid w:val="007275CB"/>
    <w:rsid w:val="00727A3D"/>
    <w:rsid w:val="00727B08"/>
    <w:rsid w:val="00727EE4"/>
    <w:rsid w:val="0073070F"/>
    <w:rsid w:val="00730D04"/>
    <w:rsid w:val="0073189E"/>
    <w:rsid w:val="00731D51"/>
    <w:rsid w:val="007320CA"/>
    <w:rsid w:val="00732B49"/>
    <w:rsid w:val="00732FF5"/>
    <w:rsid w:val="0073302E"/>
    <w:rsid w:val="00733459"/>
    <w:rsid w:val="007338BB"/>
    <w:rsid w:val="00733CCC"/>
    <w:rsid w:val="00733D29"/>
    <w:rsid w:val="007342F9"/>
    <w:rsid w:val="007346E0"/>
    <w:rsid w:val="007347D9"/>
    <w:rsid w:val="00734E28"/>
    <w:rsid w:val="00735085"/>
    <w:rsid w:val="0073508F"/>
    <w:rsid w:val="00735208"/>
    <w:rsid w:val="00735785"/>
    <w:rsid w:val="00735C99"/>
    <w:rsid w:val="00735FCA"/>
    <w:rsid w:val="00736491"/>
    <w:rsid w:val="007365E2"/>
    <w:rsid w:val="00736663"/>
    <w:rsid w:val="00736CE9"/>
    <w:rsid w:val="007373B2"/>
    <w:rsid w:val="0073784B"/>
    <w:rsid w:val="0073792E"/>
    <w:rsid w:val="00737DF4"/>
    <w:rsid w:val="00740282"/>
    <w:rsid w:val="007402FF"/>
    <w:rsid w:val="007404FB"/>
    <w:rsid w:val="00740557"/>
    <w:rsid w:val="00740B3C"/>
    <w:rsid w:val="00740C62"/>
    <w:rsid w:val="00740EE3"/>
    <w:rsid w:val="007417FE"/>
    <w:rsid w:val="00741815"/>
    <w:rsid w:val="00741CD0"/>
    <w:rsid w:val="00741D8E"/>
    <w:rsid w:val="007420F5"/>
    <w:rsid w:val="00742263"/>
    <w:rsid w:val="007423B5"/>
    <w:rsid w:val="00742733"/>
    <w:rsid w:val="007427AA"/>
    <w:rsid w:val="007428B1"/>
    <w:rsid w:val="00742EA7"/>
    <w:rsid w:val="00743969"/>
    <w:rsid w:val="00743995"/>
    <w:rsid w:val="00743BB4"/>
    <w:rsid w:val="007440E5"/>
    <w:rsid w:val="00744452"/>
    <w:rsid w:val="00744AB5"/>
    <w:rsid w:val="00744AF1"/>
    <w:rsid w:val="00745129"/>
    <w:rsid w:val="007451FD"/>
    <w:rsid w:val="00745526"/>
    <w:rsid w:val="0074578D"/>
    <w:rsid w:val="00745E46"/>
    <w:rsid w:val="00745E8A"/>
    <w:rsid w:val="00745EA3"/>
    <w:rsid w:val="007467CB"/>
    <w:rsid w:val="007468C2"/>
    <w:rsid w:val="007468E3"/>
    <w:rsid w:val="00746913"/>
    <w:rsid w:val="00746A72"/>
    <w:rsid w:val="00746AB1"/>
    <w:rsid w:val="0074710C"/>
    <w:rsid w:val="007472B2"/>
    <w:rsid w:val="00747392"/>
    <w:rsid w:val="007473D0"/>
    <w:rsid w:val="007473D5"/>
    <w:rsid w:val="0074741B"/>
    <w:rsid w:val="00747C49"/>
    <w:rsid w:val="007503F3"/>
    <w:rsid w:val="00750451"/>
    <w:rsid w:val="007505B1"/>
    <w:rsid w:val="00750894"/>
    <w:rsid w:val="007509EE"/>
    <w:rsid w:val="00750E7D"/>
    <w:rsid w:val="0075124E"/>
    <w:rsid w:val="00751A21"/>
    <w:rsid w:val="00751ECB"/>
    <w:rsid w:val="00751F02"/>
    <w:rsid w:val="007520F0"/>
    <w:rsid w:val="0075230E"/>
    <w:rsid w:val="00752557"/>
    <w:rsid w:val="007528F3"/>
    <w:rsid w:val="0075292A"/>
    <w:rsid w:val="007533EC"/>
    <w:rsid w:val="00753476"/>
    <w:rsid w:val="00754491"/>
    <w:rsid w:val="007549BF"/>
    <w:rsid w:val="00755207"/>
    <w:rsid w:val="00755296"/>
    <w:rsid w:val="00755A75"/>
    <w:rsid w:val="00755ADF"/>
    <w:rsid w:val="00755D58"/>
    <w:rsid w:val="007561B4"/>
    <w:rsid w:val="00756320"/>
    <w:rsid w:val="007563D2"/>
    <w:rsid w:val="0075664E"/>
    <w:rsid w:val="00756720"/>
    <w:rsid w:val="00756D67"/>
    <w:rsid w:val="00756DE8"/>
    <w:rsid w:val="00757732"/>
    <w:rsid w:val="007579F7"/>
    <w:rsid w:val="00760410"/>
    <w:rsid w:val="00760437"/>
    <w:rsid w:val="007604BE"/>
    <w:rsid w:val="007609BB"/>
    <w:rsid w:val="00760BDA"/>
    <w:rsid w:val="00760D22"/>
    <w:rsid w:val="00760DCB"/>
    <w:rsid w:val="0076115D"/>
    <w:rsid w:val="00761B04"/>
    <w:rsid w:val="00761C3A"/>
    <w:rsid w:val="00761CC7"/>
    <w:rsid w:val="00761E5D"/>
    <w:rsid w:val="007620CA"/>
    <w:rsid w:val="0076223C"/>
    <w:rsid w:val="007622B6"/>
    <w:rsid w:val="007626F9"/>
    <w:rsid w:val="00762804"/>
    <w:rsid w:val="0076304A"/>
    <w:rsid w:val="007631F0"/>
    <w:rsid w:val="00763471"/>
    <w:rsid w:val="00763919"/>
    <w:rsid w:val="00763CA6"/>
    <w:rsid w:val="00763D65"/>
    <w:rsid w:val="00764745"/>
    <w:rsid w:val="00764F4A"/>
    <w:rsid w:val="00764F87"/>
    <w:rsid w:val="0076520E"/>
    <w:rsid w:val="007652B3"/>
    <w:rsid w:val="0076594C"/>
    <w:rsid w:val="00765CC1"/>
    <w:rsid w:val="00765D15"/>
    <w:rsid w:val="00765F5C"/>
    <w:rsid w:val="00765FBB"/>
    <w:rsid w:val="00766858"/>
    <w:rsid w:val="00767180"/>
    <w:rsid w:val="00767BA6"/>
    <w:rsid w:val="00767BCA"/>
    <w:rsid w:val="007700ED"/>
    <w:rsid w:val="007705BA"/>
    <w:rsid w:val="00770B2C"/>
    <w:rsid w:val="00770B78"/>
    <w:rsid w:val="00770CA8"/>
    <w:rsid w:val="00770F5F"/>
    <w:rsid w:val="007711FB"/>
    <w:rsid w:val="00771477"/>
    <w:rsid w:val="0077147D"/>
    <w:rsid w:val="00771774"/>
    <w:rsid w:val="0077180E"/>
    <w:rsid w:val="0077191C"/>
    <w:rsid w:val="00771A22"/>
    <w:rsid w:val="00771EF7"/>
    <w:rsid w:val="00771FE8"/>
    <w:rsid w:val="00772230"/>
    <w:rsid w:val="0077238F"/>
    <w:rsid w:val="00772654"/>
    <w:rsid w:val="00772773"/>
    <w:rsid w:val="00772827"/>
    <w:rsid w:val="00773153"/>
    <w:rsid w:val="0077319A"/>
    <w:rsid w:val="0077355B"/>
    <w:rsid w:val="007737DF"/>
    <w:rsid w:val="00773949"/>
    <w:rsid w:val="0077420F"/>
    <w:rsid w:val="007748EA"/>
    <w:rsid w:val="00774970"/>
    <w:rsid w:val="007749D5"/>
    <w:rsid w:val="00774CD4"/>
    <w:rsid w:val="007750AF"/>
    <w:rsid w:val="0077540F"/>
    <w:rsid w:val="0077648C"/>
    <w:rsid w:val="007769F2"/>
    <w:rsid w:val="00776B95"/>
    <w:rsid w:val="00776C3E"/>
    <w:rsid w:val="00776D2F"/>
    <w:rsid w:val="00776E01"/>
    <w:rsid w:val="00777028"/>
    <w:rsid w:val="0077708D"/>
    <w:rsid w:val="00777533"/>
    <w:rsid w:val="00777938"/>
    <w:rsid w:val="00777A07"/>
    <w:rsid w:val="00780136"/>
    <w:rsid w:val="00780703"/>
    <w:rsid w:val="00780AFD"/>
    <w:rsid w:val="00780B1A"/>
    <w:rsid w:val="00780B3A"/>
    <w:rsid w:val="007813E8"/>
    <w:rsid w:val="00781E3D"/>
    <w:rsid w:val="00782038"/>
    <w:rsid w:val="007822B8"/>
    <w:rsid w:val="00782C2F"/>
    <w:rsid w:val="007830B4"/>
    <w:rsid w:val="0078320C"/>
    <w:rsid w:val="007832AD"/>
    <w:rsid w:val="00783B0B"/>
    <w:rsid w:val="00783C54"/>
    <w:rsid w:val="00783DDA"/>
    <w:rsid w:val="00783F78"/>
    <w:rsid w:val="0078405E"/>
    <w:rsid w:val="00784336"/>
    <w:rsid w:val="00784545"/>
    <w:rsid w:val="00784B6F"/>
    <w:rsid w:val="00784D3B"/>
    <w:rsid w:val="00784DE7"/>
    <w:rsid w:val="00785233"/>
    <w:rsid w:val="00785B0B"/>
    <w:rsid w:val="00785F39"/>
    <w:rsid w:val="00786562"/>
    <w:rsid w:val="00786C66"/>
    <w:rsid w:val="00786F00"/>
    <w:rsid w:val="00786F45"/>
    <w:rsid w:val="00786FF5"/>
    <w:rsid w:val="0078721D"/>
    <w:rsid w:val="007878BF"/>
    <w:rsid w:val="00787A5A"/>
    <w:rsid w:val="00787CE7"/>
    <w:rsid w:val="0079011E"/>
    <w:rsid w:val="007905E7"/>
    <w:rsid w:val="00790B9F"/>
    <w:rsid w:val="00790EDD"/>
    <w:rsid w:val="00790F20"/>
    <w:rsid w:val="0079194F"/>
    <w:rsid w:val="00791972"/>
    <w:rsid w:val="00791DCA"/>
    <w:rsid w:val="007921C0"/>
    <w:rsid w:val="00792208"/>
    <w:rsid w:val="0079236B"/>
    <w:rsid w:val="007924A5"/>
    <w:rsid w:val="007927A7"/>
    <w:rsid w:val="0079291C"/>
    <w:rsid w:val="00792ABB"/>
    <w:rsid w:val="00792B25"/>
    <w:rsid w:val="0079338B"/>
    <w:rsid w:val="00793CDD"/>
    <w:rsid w:val="00794A5D"/>
    <w:rsid w:val="00794B4B"/>
    <w:rsid w:val="00794B5C"/>
    <w:rsid w:val="00794EB5"/>
    <w:rsid w:val="0079500E"/>
    <w:rsid w:val="00795236"/>
    <w:rsid w:val="007957FD"/>
    <w:rsid w:val="00795B5A"/>
    <w:rsid w:val="00795F10"/>
    <w:rsid w:val="00795FAF"/>
    <w:rsid w:val="0079617A"/>
    <w:rsid w:val="00796277"/>
    <w:rsid w:val="00796703"/>
    <w:rsid w:val="00796772"/>
    <w:rsid w:val="00796F86"/>
    <w:rsid w:val="00797218"/>
    <w:rsid w:val="00797B44"/>
    <w:rsid w:val="00797C1B"/>
    <w:rsid w:val="007A0D5A"/>
    <w:rsid w:val="007A0EA8"/>
    <w:rsid w:val="007A1637"/>
    <w:rsid w:val="007A16CB"/>
    <w:rsid w:val="007A19CE"/>
    <w:rsid w:val="007A1A90"/>
    <w:rsid w:val="007A1AB5"/>
    <w:rsid w:val="007A1BA9"/>
    <w:rsid w:val="007A1C2E"/>
    <w:rsid w:val="007A1CE0"/>
    <w:rsid w:val="007A207C"/>
    <w:rsid w:val="007A21E8"/>
    <w:rsid w:val="007A22B5"/>
    <w:rsid w:val="007A26E1"/>
    <w:rsid w:val="007A2947"/>
    <w:rsid w:val="007A3478"/>
    <w:rsid w:val="007A347E"/>
    <w:rsid w:val="007A40A9"/>
    <w:rsid w:val="007A427E"/>
    <w:rsid w:val="007A43CD"/>
    <w:rsid w:val="007A488D"/>
    <w:rsid w:val="007A506D"/>
    <w:rsid w:val="007A50A0"/>
    <w:rsid w:val="007A50CA"/>
    <w:rsid w:val="007A5233"/>
    <w:rsid w:val="007A549A"/>
    <w:rsid w:val="007A5703"/>
    <w:rsid w:val="007A5ABF"/>
    <w:rsid w:val="007A5C87"/>
    <w:rsid w:val="007A5CEA"/>
    <w:rsid w:val="007A5F57"/>
    <w:rsid w:val="007A638B"/>
    <w:rsid w:val="007A65DF"/>
    <w:rsid w:val="007A72C8"/>
    <w:rsid w:val="007A7309"/>
    <w:rsid w:val="007A73E9"/>
    <w:rsid w:val="007A7435"/>
    <w:rsid w:val="007A78AF"/>
    <w:rsid w:val="007A794F"/>
    <w:rsid w:val="007A795F"/>
    <w:rsid w:val="007B046F"/>
    <w:rsid w:val="007B0742"/>
    <w:rsid w:val="007B1218"/>
    <w:rsid w:val="007B1252"/>
    <w:rsid w:val="007B183F"/>
    <w:rsid w:val="007B28F0"/>
    <w:rsid w:val="007B2FD0"/>
    <w:rsid w:val="007B3A3B"/>
    <w:rsid w:val="007B3A9D"/>
    <w:rsid w:val="007B3B39"/>
    <w:rsid w:val="007B3DB7"/>
    <w:rsid w:val="007B3E52"/>
    <w:rsid w:val="007B4784"/>
    <w:rsid w:val="007B50A1"/>
    <w:rsid w:val="007B5C1E"/>
    <w:rsid w:val="007B5E2F"/>
    <w:rsid w:val="007B601C"/>
    <w:rsid w:val="007B651D"/>
    <w:rsid w:val="007B6808"/>
    <w:rsid w:val="007B6D75"/>
    <w:rsid w:val="007B72A7"/>
    <w:rsid w:val="007B73FC"/>
    <w:rsid w:val="007B76EB"/>
    <w:rsid w:val="007B77D3"/>
    <w:rsid w:val="007B7BD3"/>
    <w:rsid w:val="007C0163"/>
    <w:rsid w:val="007C07E2"/>
    <w:rsid w:val="007C08ED"/>
    <w:rsid w:val="007C0AFA"/>
    <w:rsid w:val="007C0E1B"/>
    <w:rsid w:val="007C0FEE"/>
    <w:rsid w:val="007C1567"/>
    <w:rsid w:val="007C19C5"/>
    <w:rsid w:val="007C1BBA"/>
    <w:rsid w:val="007C21AC"/>
    <w:rsid w:val="007C22C4"/>
    <w:rsid w:val="007C3417"/>
    <w:rsid w:val="007C3D1C"/>
    <w:rsid w:val="007C3F13"/>
    <w:rsid w:val="007C4097"/>
    <w:rsid w:val="007C440D"/>
    <w:rsid w:val="007C46B7"/>
    <w:rsid w:val="007C46DD"/>
    <w:rsid w:val="007C4EBD"/>
    <w:rsid w:val="007C529E"/>
    <w:rsid w:val="007C54BB"/>
    <w:rsid w:val="007C5B37"/>
    <w:rsid w:val="007C5DDA"/>
    <w:rsid w:val="007C629A"/>
    <w:rsid w:val="007C64DF"/>
    <w:rsid w:val="007C67A3"/>
    <w:rsid w:val="007C6879"/>
    <w:rsid w:val="007C71AB"/>
    <w:rsid w:val="007C7FF4"/>
    <w:rsid w:val="007D01A6"/>
    <w:rsid w:val="007D0592"/>
    <w:rsid w:val="007D0DD9"/>
    <w:rsid w:val="007D10AC"/>
    <w:rsid w:val="007D13BC"/>
    <w:rsid w:val="007D164C"/>
    <w:rsid w:val="007D1E77"/>
    <w:rsid w:val="007D2046"/>
    <w:rsid w:val="007D2402"/>
    <w:rsid w:val="007D2A40"/>
    <w:rsid w:val="007D35E4"/>
    <w:rsid w:val="007D364E"/>
    <w:rsid w:val="007D37C3"/>
    <w:rsid w:val="007D3D7E"/>
    <w:rsid w:val="007D4947"/>
    <w:rsid w:val="007D4ADF"/>
    <w:rsid w:val="007D4CAE"/>
    <w:rsid w:val="007D52C2"/>
    <w:rsid w:val="007D540B"/>
    <w:rsid w:val="007D55E8"/>
    <w:rsid w:val="007D620A"/>
    <w:rsid w:val="007D6475"/>
    <w:rsid w:val="007D68C3"/>
    <w:rsid w:val="007D77D8"/>
    <w:rsid w:val="007E0179"/>
    <w:rsid w:val="007E0270"/>
    <w:rsid w:val="007E0697"/>
    <w:rsid w:val="007E0AF3"/>
    <w:rsid w:val="007E0D1E"/>
    <w:rsid w:val="007E10CA"/>
    <w:rsid w:val="007E15AC"/>
    <w:rsid w:val="007E16CE"/>
    <w:rsid w:val="007E17CA"/>
    <w:rsid w:val="007E1804"/>
    <w:rsid w:val="007E1860"/>
    <w:rsid w:val="007E1D66"/>
    <w:rsid w:val="007E21B4"/>
    <w:rsid w:val="007E2283"/>
    <w:rsid w:val="007E25B3"/>
    <w:rsid w:val="007E2C41"/>
    <w:rsid w:val="007E2F5D"/>
    <w:rsid w:val="007E3124"/>
    <w:rsid w:val="007E36C9"/>
    <w:rsid w:val="007E36E6"/>
    <w:rsid w:val="007E383D"/>
    <w:rsid w:val="007E4A91"/>
    <w:rsid w:val="007E4B4E"/>
    <w:rsid w:val="007E4D27"/>
    <w:rsid w:val="007E4D80"/>
    <w:rsid w:val="007E53B0"/>
    <w:rsid w:val="007E5545"/>
    <w:rsid w:val="007E5A69"/>
    <w:rsid w:val="007E5BBF"/>
    <w:rsid w:val="007E628B"/>
    <w:rsid w:val="007E680F"/>
    <w:rsid w:val="007E6DBC"/>
    <w:rsid w:val="007E7342"/>
    <w:rsid w:val="007E7358"/>
    <w:rsid w:val="007E76A1"/>
    <w:rsid w:val="007E78A5"/>
    <w:rsid w:val="007E7D3D"/>
    <w:rsid w:val="007E7F52"/>
    <w:rsid w:val="007F02E2"/>
    <w:rsid w:val="007F03B6"/>
    <w:rsid w:val="007F0D8D"/>
    <w:rsid w:val="007F0F4B"/>
    <w:rsid w:val="007F1232"/>
    <w:rsid w:val="007F1254"/>
    <w:rsid w:val="007F15E2"/>
    <w:rsid w:val="007F19C3"/>
    <w:rsid w:val="007F1C0E"/>
    <w:rsid w:val="007F1CB5"/>
    <w:rsid w:val="007F20DE"/>
    <w:rsid w:val="007F21D6"/>
    <w:rsid w:val="007F22EC"/>
    <w:rsid w:val="007F2494"/>
    <w:rsid w:val="007F26F8"/>
    <w:rsid w:val="007F28B1"/>
    <w:rsid w:val="007F291B"/>
    <w:rsid w:val="007F3A0E"/>
    <w:rsid w:val="007F3C2A"/>
    <w:rsid w:val="007F3E0E"/>
    <w:rsid w:val="007F3F74"/>
    <w:rsid w:val="007F4127"/>
    <w:rsid w:val="007F42B3"/>
    <w:rsid w:val="007F4A67"/>
    <w:rsid w:val="007F4DBF"/>
    <w:rsid w:val="007F4E61"/>
    <w:rsid w:val="007F51BE"/>
    <w:rsid w:val="007F51E8"/>
    <w:rsid w:val="007F52A2"/>
    <w:rsid w:val="007F5370"/>
    <w:rsid w:val="007F5F42"/>
    <w:rsid w:val="007F60F1"/>
    <w:rsid w:val="007F64B8"/>
    <w:rsid w:val="007F6EEE"/>
    <w:rsid w:val="007F6F65"/>
    <w:rsid w:val="007F72DC"/>
    <w:rsid w:val="007F748F"/>
    <w:rsid w:val="007F7551"/>
    <w:rsid w:val="007F77F3"/>
    <w:rsid w:val="007F7F44"/>
    <w:rsid w:val="007F7FFE"/>
    <w:rsid w:val="00800A45"/>
    <w:rsid w:val="00800D09"/>
    <w:rsid w:val="00800E9B"/>
    <w:rsid w:val="0080118A"/>
    <w:rsid w:val="008014EE"/>
    <w:rsid w:val="00801553"/>
    <w:rsid w:val="008019F2"/>
    <w:rsid w:val="00801C31"/>
    <w:rsid w:val="00801E3D"/>
    <w:rsid w:val="00801E97"/>
    <w:rsid w:val="00801F38"/>
    <w:rsid w:val="00802066"/>
    <w:rsid w:val="00802141"/>
    <w:rsid w:val="008023E0"/>
    <w:rsid w:val="008025C8"/>
    <w:rsid w:val="008029FF"/>
    <w:rsid w:val="00802AD6"/>
    <w:rsid w:val="00803562"/>
    <w:rsid w:val="00803899"/>
    <w:rsid w:val="00803C7D"/>
    <w:rsid w:val="00803F28"/>
    <w:rsid w:val="00804231"/>
    <w:rsid w:val="00805223"/>
    <w:rsid w:val="0080579C"/>
    <w:rsid w:val="00805BE2"/>
    <w:rsid w:val="0080634E"/>
    <w:rsid w:val="00806716"/>
    <w:rsid w:val="00806E63"/>
    <w:rsid w:val="00806F71"/>
    <w:rsid w:val="00807410"/>
    <w:rsid w:val="00807A48"/>
    <w:rsid w:val="00807CDA"/>
    <w:rsid w:val="00810087"/>
    <w:rsid w:val="0081014E"/>
    <w:rsid w:val="008102C3"/>
    <w:rsid w:val="0081034A"/>
    <w:rsid w:val="00810A37"/>
    <w:rsid w:val="00810A7A"/>
    <w:rsid w:val="0081128A"/>
    <w:rsid w:val="00811356"/>
    <w:rsid w:val="0081177F"/>
    <w:rsid w:val="00811DEA"/>
    <w:rsid w:val="00811E8B"/>
    <w:rsid w:val="008121D0"/>
    <w:rsid w:val="00812400"/>
    <w:rsid w:val="0081307D"/>
    <w:rsid w:val="0081316C"/>
    <w:rsid w:val="0081352D"/>
    <w:rsid w:val="0081357F"/>
    <w:rsid w:val="00813C32"/>
    <w:rsid w:val="00813CE0"/>
    <w:rsid w:val="008142DF"/>
    <w:rsid w:val="00814732"/>
    <w:rsid w:val="00814C93"/>
    <w:rsid w:val="00814D0A"/>
    <w:rsid w:val="00814D44"/>
    <w:rsid w:val="00814E11"/>
    <w:rsid w:val="00814EC9"/>
    <w:rsid w:val="00814FC4"/>
    <w:rsid w:val="0081503C"/>
    <w:rsid w:val="0081528C"/>
    <w:rsid w:val="00815638"/>
    <w:rsid w:val="00815815"/>
    <w:rsid w:val="00815ADB"/>
    <w:rsid w:val="00815E0A"/>
    <w:rsid w:val="0081605F"/>
    <w:rsid w:val="008162D6"/>
    <w:rsid w:val="00816309"/>
    <w:rsid w:val="0081696B"/>
    <w:rsid w:val="0081710C"/>
    <w:rsid w:val="008173F0"/>
    <w:rsid w:val="00817989"/>
    <w:rsid w:val="00817AE4"/>
    <w:rsid w:val="00817E56"/>
    <w:rsid w:val="00820110"/>
    <w:rsid w:val="008201E5"/>
    <w:rsid w:val="0082025D"/>
    <w:rsid w:val="0082054D"/>
    <w:rsid w:val="008209DC"/>
    <w:rsid w:val="00820C92"/>
    <w:rsid w:val="00820CB2"/>
    <w:rsid w:val="00820F78"/>
    <w:rsid w:val="008210D1"/>
    <w:rsid w:val="00821299"/>
    <w:rsid w:val="00821575"/>
    <w:rsid w:val="0082161E"/>
    <w:rsid w:val="0082175D"/>
    <w:rsid w:val="008218FE"/>
    <w:rsid w:val="00822007"/>
    <w:rsid w:val="0082253F"/>
    <w:rsid w:val="0082286F"/>
    <w:rsid w:val="0082288D"/>
    <w:rsid w:val="00822927"/>
    <w:rsid w:val="00822940"/>
    <w:rsid w:val="008229E4"/>
    <w:rsid w:val="00822FC1"/>
    <w:rsid w:val="00823625"/>
    <w:rsid w:val="0082386A"/>
    <w:rsid w:val="00823BE4"/>
    <w:rsid w:val="00823FBB"/>
    <w:rsid w:val="00824E0F"/>
    <w:rsid w:val="008259C2"/>
    <w:rsid w:val="00825E22"/>
    <w:rsid w:val="00825FDD"/>
    <w:rsid w:val="008262F4"/>
    <w:rsid w:val="008265EF"/>
    <w:rsid w:val="008265F1"/>
    <w:rsid w:val="00826B7D"/>
    <w:rsid w:val="00826D3A"/>
    <w:rsid w:val="00827391"/>
    <w:rsid w:val="00827A04"/>
    <w:rsid w:val="00827F21"/>
    <w:rsid w:val="008300A1"/>
    <w:rsid w:val="00830685"/>
    <w:rsid w:val="008309BE"/>
    <w:rsid w:val="00830EB5"/>
    <w:rsid w:val="00830F10"/>
    <w:rsid w:val="0083169D"/>
    <w:rsid w:val="00831817"/>
    <w:rsid w:val="00831A55"/>
    <w:rsid w:val="00832157"/>
    <w:rsid w:val="0083292A"/>
    <w:rsid w:val="00832C89"/>
    <w:rsid w:val="00832D62"/>
    <w:rsid w:val="00832F78"/>
    <w:rsid w:val="008334A4"/>
    <w:rsid w:val="00833721"/>
    <w:rsid w:val="008339A2"/>
    <w:rsid w:val="00833D31"/>
    <w:rsid w:val="00834219"/>
    <w:rsid w:val="00834823"/>
    <w:rsid w:val="00834E24"/>
    <w:rsid w:val="00834E82"/>
    <w:rsid w:val="00834ED5"/>
    <w:rsid w:val="008350B3"/>
    <w:rsid w:val="0083511C"/>
    <w:rsid w:val="00835513"/>
    <w:rsid w:val="00835A44"/>
    <w:rsid w:val="0083627C"/>
    <w:rsid w:val="008366A2"/>
    <w:rsid w:val="0083748B"/>
    <w:rsid w:val="0083779B"/>
    <w:rsid w:val="00837CC4"/>
    <w:rsid w:val="00837DA9"/>
    <w:rsid w:val="00840F5F"/>
    <w:rsid w:val="008416C6"/>
    <w:rsid w:val="00841B06"/>
    <w:rsid w:val="00841BEE"/>
    <w:rsid w:val="00841E81"/>
    <w:rsid w:val="0084251E"/>
    <w:rsid w:val="00842619"/>
    <w:rsid w:val="00842B88"/>
    <w:rsid w:val="00843123"/>
    <w:rsid w:val="00843390"/>
    <w:rsid w:val="00843501"/>
    <w:rsid w:val="00843505"/>
    <w:rsid w:val="00843A2F"/>
    <w:rsid w:val="00843F36"/>
    <w:rsid w:val="00843F69"/>
    <w:rsid w:val="00844233"/>
    <w:rsid w:val="008448BD"/>
    <w:rsid w:val="008455D1"/>
    <w:rsid w:val="00846049"/>
    <w:rsid w:val="00846337"/>
    <w:rsid w:val="00846CBE"/>
    <w:rsid w:val="00846E44"/>
    <w:rsid w:val="0084711B"/>
    <w:rsid w:val="008471E5"/>
    <w:rsid w:val="008472DD"/>
    <w:rsid w:val="008473A8"/>
    <w:rsid w:val="008473FB"/>
    <w:rsid w:val="0084749C"/>
    <w:rsid w:val="00847652"/>
    <w:rsid w:val="0085053C"/>
    <w:rsid w:val="0085054E"/>
    <w:rsid w:val="008507D9"/>
    <w:rsid w:val="008509D2"/>
    <w:rsid w:val="00850A9E"/>
    <w:rsid w:val="00850B7E"/>
    <w:rsid w:val="008512B7"/>
    <w:rsid w:val="0085180A"/>
    <w:rsid w:val="00851975"/>
    <w:rsid w:val="00851A4C"/>
    <w:rsid w:val="00851AD0"/>
    <w:rsid w:val="00851D30"/>
    <w:rsid w:val="00851D83"/>
    <w:rsid w:val="008538BB"/>
    <w:rsid w:val="00853C02"/>
    <w:rsid w:val="00853C2A"/>
    <w:rsid w:val="00853EAE"/>
    <w:rsid w:val="0085420A"/>
    <w:rsid w:val="0085455F"/>
    <w:rsid w:val="008546BE"/>
    <w:rsid w:val="00854847"/>
    <w:rsid w:val="0085499A"/>
    <w:rsid w:val="00854AE7"/>
    <w:rsid w:val="00854FAB"/>
    <w:rsid w:val="0085502E"/>
    <w:rsid w:val="00855232"/>
    <w:rsid w:val="0085527E"/>
    <w:rsid w:val="008552A9"/>
    <w:rsid w:val="008554B4"/>
    <w:rsid w:val="008554E0"/>
    <w:rsid w:val="00855754"/>
    <w:rsid w:val="008567B4"/>
    <w:rsid w:val="008568DC"/>
    <w:rsid w:val="00856C87"/>
    <w:rsid w:val="00856D47"/>
    <w:rsid w:val="00856DE6"/>
    <w:rsid w:val="008574E7"/>
    <w:rsid w:val="0085768A"/>
    <w:rsid w:val="00857899"/>
    <w:rsid w:val="00857F9B"/>
    <w:rsid w:val="00860D88"/>
    <w:rsid w:val="00861672"/>
    <w:rsid w:val="008625E7"/>
    <w:rsid w:val="00862C59"/>
    <w:rsid w:val="00862D5B"/>
    <w:rsid w:val="008633A7"/>
    <w:rsid w:val="0086357D"/>
    <w:rsid w:val="008636B6"/>
    <w:rsid w:val="00863A2A"/>
    <w:rsid w:val="00863DBB"/>
    <w:rsid w:val="00863EC3"/>
    <w:rsid w:val="0086432C"/>
    <w:rsid w:val="00864E3B"/>
    <w:rsid w:val="00864EB8"/>
    <w:rsid w:val="008650CD"/>
    <w:rsid w:val="00865110"/>
    <w:rsid w:val="008651B7"/>
    <w:rsid w:val="00865598"/>
    <w:rsid w:val="00865B8F"/>
    <w:rsid w:val="00866B27"/>
    <w:rsid w:val="00866C52"/>
    <w:rsid w:val="008678D1"/>
    <w:rsid w:val="008679CB"/>
    <w:rsid w:val="00867A20"/>
    <w:rsid w:val="00867D1A"/>
    <w:rsid w:val="00867DCF"/>
    <w:rsid w:val="00867E57"/>
    <w:rsid w:val="00870A66"/>
    <w:rsid w:val="00870B2C"/>
    <w:rsid w:val="00870F17"/>
    <w:rsid w:val="00870FCF"/>
    <w:rsid w:val="0087102F"/>
    <w:rsid w:val="008711B2"/>
    <w:rsid w:val="00871306"/>
    <w:rsid w:val="00871324"/>
    <w:rsid w:val="00871379"/>
    <w:rsid w:val="00871F24"/>
    <w:rsid w:val="00872238"/>
    <w:rsid w:val="00872563"/>
    <w:rsid w:val="00872695"/>
    <w:rsid w:val="008726E6"/>
    <w:rsid w:val="00872E2A"/>
    <w:rsid w:val="008738C8"/>
    <w:rsid w:val="0087393C"/>
    <w:rsid w:val="00873953"/>
    <w:rsid w:val="00873AB0"/>
    <w:rsid w:val="00874310"/>
    <w:rsid w:val="008744AD"/>
    <w:rsid w:val="00874709"/>
    <w:rsid w:val="00874B68"/>
    <w:rsid w:val="00874FC9"/>
    <w:rsid w:val="008755D0"/>
    <w:rsid w:val="008755D5"/>
    <w:rsid w:val="00875BD9"/>
    <w:rsid w:val="00875D0D"/>
    <w:rsid w:val="00876130"/>
    <w:rsid w:val="0087641D"/>
    <w:rsid w:val="008765A7"/>
    <w:rsid w:val="00876728"/>
    <w:rsid w:val="0087679F"/>
    <w:rsid w:val="00876CCE"/>
    <w:rsid w:val="0087707F"/>
    <w:rsid w:val="008773A1"/>
    <w:rsid w:val="00877F1D"/>
    <w:rsid w:val="00880B7A"/>
    <w:rsid w:val="00880B7F"/>
    <w:rsid w:val="00880BF2"/>
    <w:rsid w:val="00880C63"/>
    <w:rsid w:val="00880DCB"/>
    <w:rsid w:val="00880E05"/>
    <w:rsid w:val="00881F73"/>
    <w:rsid w:val="008823C5"/>
    <w:rsid w:val="00882B7C"/>
    <w:rsid w:val="00882DC9"/>
    <w:rsid w:val="00882FFF"/>
    <w:rsid w:val="00884411"/>
    <w:rsid w:val="00884599"/>
    <w:rsid w:val="00884A30"/>
    <w:rsid w:val="00884B73"/>
    <w:rsid w:val="00884D78"/>
    <w:rsid w:val="008850AD"/>
    <w:rsid w:val="0088569F"/>
    <w:rsid w:val="0088570C"/>
    <w:rsid w:val="00885AD1"/>
    <w:rsid w:val="00885CBC"/>
    <w:rsid w:val="008860F6"/>
    <w:rsid w:val="008865A3"/>
    <w:rsid w:val="0088661F"/>
    <w:rsid w:val="00886689"/>
    <w:rsid w:val="00886D22"/>
    <w:rsid w:val="00886E1F"/>
    <w:rsid w:val="00887A80"/>
    <w:rsid w:val="00887F43"/>
    <w:rsid w:val="0089047E"/>
    <w:rsid w:val="0089060F"/>
    <w:rsid w:val="008908FC"/>
    <w:rsid w:val="00890CE5"/>
    <w:rsid w:val="00890D92"/>
    <w:rsid w:val="00891019"/>
    <w:rsid w:val="00891023"/>
    <w:rsid w:val="00891195"/>
    <w:rsid w:val="008913F8"/>
    <w:rsid w:val="00891A4E"/>
    <w:rsid w:val="00892265"/>
    <w:rsid w:val="008925DE"/>
    <w:rsid w:val="008928F7"/>
    <w:rsid w:val="0089299F"/>
    <w:rsid w:val="00893357"/>
    <w:rsid w:val="008935A7"/>
    <w:rsid w:val="00894210"/>
    <w:rsid w:val="00894291"/>
    <w:rsid w:val="008946F7"/>
    <w:rsid w:val="00894CF8"/>
    <w:rsid w:val="00894F9D"/>
    <w:rsid w:val="008950C8"/>
    <w:rsid w:val="008952FB"/>
    <w:rsid w:val="008954A5"/>
    <w:rsid w:val="008956CE"/>
    <w:rsid w:val="008960A6"/>
    <w:rsid w:val="00897381"/>
    <w:rsid w:val="0089770D"/>
    <w:rsid w:val="00897F3C"/>
    <w:rsid w:val="008A0E08"/>
    <w:rsid w:val="008A0FDA"/>
    <w:rsid w:val="008A127E"/>
    <w:rsid w:val="008A18C5"/>
    <w:rsid w:val="008A22E6"/>
    <w:rsid w:val="008A235F"/>
    <w:rsid w:val="008A273E"/>
    <w:rsid w:val="008A295D"/>
    <w:rsid w:val="008A29A7"/>
    <w:rsid w:val="008A29D0"/>
    <w:rsid w:val="008A3C12"/>
    <w:rsid w:val="008A3D09"/>
    <w:rsid w:val="008A3D49"/>
    <w:rsid w:val="008A3DAF"/>
    <w:rsid w:val="008A3DF4"/>
    <w:rsid w:val="008A3F5D"/>
    <w:rsid w:val="008A402A"/>
    <w:rsid w:val="008A427A"/>
    <w:rsid w:val="008A42DA"/>
    <w:rsid w:val="008A4541"/>
    <w:rsid w:val="008A467A"/>
    <w:rsid w:val="008A47D0"/>
    <w:rsid w:val="008A4BC3"/>
    <w:rsid w:val="008A4D8E"/>
    <w:rsid w:val="008A4E33"/>
    <w:rsid w:val="008A4F9E"/>
    <w:rsid w:val="008A50C1"/>
    <w:rsid w:val="008A5243"/>
    <w:rsid w:val="008A550B"/>
    <w:rsid w:val="008A5A40"/>
    <w:rsid w:val="008A5A59"/>
    <w:rsid w:val="008A5BF0"/>
    <w:rsid w:val="008A671A"/>
    <w:rsid w:val="008A6EB5"/>
    <w:rsid w:val="008A70C7"/>
    <w:rsid w:val="008A7206"/>
    <w:rsid w:val="008A742D"/>
    <w:rsid w:val="008A7574"/>
    <w:rsid w:val="008A77A6"/>
    <w:rsid w:val="008A7FE6"/>
    <w:rsid w:val="008B0103"/>
    <w:rsid w:val="008B0459"/>
    <w:rsid w:val="008B06C5"/>
    <w:rsid w:val="008B0839"/>
    <w:rsid w:val="008B1008"/>
    <w:rsid w:val="008B1178"/>
    <w:rsid w:val="008B121D"/>
    <w:rsid w:val="008B12C4"/>
    <w:rsid w:val="008B215E"/>
    <w:rsid w:val="008B21EC"/>
    <w:rsid w:val="008B242B"/>
    <w:rsid w:val="008B250D"/>
    <w:rsid w:val="008B26FB"/>
    <w:rsid w:val="008B3150"/>
    <w:rsid w:val="008B350F"/>
    <w:rsid w:val="008B3C33"/>
    <w:rsid w:val="008B3EB7"/>
    <w:rsid w:val="008B4174"/>
    <w:rsid w:val="008B4494"/>
    <w:rsid w:val="008B4C1A"/>
    <w:rsid w:val="008B56AD"/>
    <w:rsid w:val="008B5933"/>
    <w:rsid w:val="008B5B5F"/>
    <w:rsid w:val="008B5B95"/>
    <w:rsid w:val="008B5C31"/>
    <w:rsid w:val="008B5C90"/>
    <w:rsid w:val="008B6090"/>
    <w:rsid w:val="008B6194"/>
    <w:rsid w:val="008B6717"/>
    <w:rsid w:val="008B6F3C"/>
    <w:rsid w:val="008B71EF"/>
    <w:rsid w:val="008B7526"/>
    <w:rsid w:val="008B7B7E"/>
    <w:rsid w:val="008B7DF2"/>
    <w:rsid w:val="008C0377"/>
    <w:rsid w:val="008C0597"/>
    <w:rsid w:val="008C06C0"/>
    <w:rsid w:val="008C06C1"/>
    <w:rsid w:val="008C081C"/>
    <w:rsid w:val="008C0B6A"/>
    <w:rsid w:val="008C0FD7"/>
    <w:rsid w:val="008C1387"/>
    <w:rsid w:val="008C16B8"/>
    <w:rsid w:val="008C1E04"/>
    <w:rsid w:val="008C1F48"/>
    <w:rsid w:val="008C255A"/>
    <w:rsid w:val="008C2596"/>
    <w:rsid w:val="008C2772"/>
    <w:rsid w:val="008C3060"/>
    <w:rsid w:val="008C32FA"/>
    <w:rsid w:val="008C3503"/>
    <w:rsid w:val="008C39EA"/>
    <w:rsid w:val="008C3D8F"/>
    <w:rsid w:val="008C42AE"/>
    <w:rsid w:val="008C4452"/>
    <w:rsid w:val="008C44C7"/>
    <w:rsid w:val="008C4700"/>
    <w:rsid w:val="008C4C6A"/>
    <w:rsid w:val="008C4FEC"/>
    <w:rsid w:val="008C527F"/>
    <w:rsid w:val="008C5A57"/>
    <w:rsid w:val="008C5D7C"/>
    <w:rsid w:val="008C6015"/>
    <w:rsid w:val="008C63C4"/>
    <w:rsid w:val="008C6547"/>
    <w:rsid w:val="008C69AB"/>
    <w:rsid w:val="008C6A47"/>
    <w:rsid w:val="008C75A5"/>
    <w:rsid w:val="008C76B9"/>
    <w:rsid w:val="008C78DD"/>
    <w:rsid w:val="008C7BC2"/>
    <w:rsid w:val="008C7BD4"/>
    <w:rsid w:val="008C7F0B"/>
    <w:rsid w:val="008D01DE"/>
    <w:rsid w:val="008D02C3"/>
    <w:rsid w:val="008D0708"/>
    <w:rsid w:val="008D0769"/>
    <w:rsid w:val="008D08B6"/>
    <w:rsid w:val="008D0E18"/>
    <w:rsid w:val="008D1600"/>
    <w:rsid w:val="008D1C9B"/>
    <w:rsid w:val="008D2079"/>
    <w:rsid w:val="008D2571"/>
    <w:rsid w:val="008D25FD"/>
    <w:rsid w:val="008D2BF4"/>
    <w:rsid w:val="008D2CBF"/>
    <w:rsid w:val="008D394F"/>
    <w:rsid w:val="008D39B9"/>
    <w:rsid w:val="008D3C9B"/>
    <w:rsid w:val="008D3F90"/>
    <w:rsid w:val="008D46E0"/>
    <w:rsid w:val="008D47E7"/>
    <w:rsid w:val="008D518C"/>
    <w:rsid w:val="008D5213"/>
    <w:rsid w:val="008D52F3"/>
    <w:rsid w:val="008D551D"/>
    <w:rsid w:val="008D554F"/>
    <w:rsid w:val="008D589E"/>
    <w:rsid w:val="008D609B"/>
    <w:rsid w:val="008D6266"/>
    <w:rsid w:val="008D6378"/>
    <w:rsid w:val="008D639A"/>
    <w:rsid w:val="008D681B"/>
    <w:rsid w:val="008D6973"/>
    <w:rsid w:val="008D69A6"/>
    <w:rsid w:val="008D6F60"/>
    <w:rsid w:val="008D7437"/>
    <w:rsid w:val="008D7499"/>
    <w:rsid w:val="008E0000"/>
    <w:rsid w:val="008E057D"/>
    <w:rsid w:val="008E0834"/>
    <w:rsid w:val="008E08C2"/>
    <w:rsid w:val="008E0AA9"/>
    <w:rsid w:val="008E0AF2"/>
    <w:rsid w:val="008E0C61"/>
    <w:rsid w:val="008E1E4D"/>
    <w:rsid w:val="008E2147"/>
    <w:rsid w:val="008E250B"/>
    <w:rsid w:val="008E295D"/>
    <w:rsid w:val="008E2BB2"/>
    <w:rsid w:val="008E2E26"/>
    <w:rsid w:val="008E2F7D"/>
    <w:rsid w:val="008E32FA"/>
    <w:rsid w:val="008E37DB"/>
    <w:rsid w:val="008E37F8"/>
    <w:rsid w:val="008E3B0C"/>
    <w:rsid w:val="008E3DD3"/>
    <w:rsid w:val="008E3F31"/>
    <w:rsid w:val="008E3F6B"/>
    <w:rsid w:val="008E4033"/>
    <w:rsid w:val="008E5601"/>
    <w:rsid w:val="008E5F08"/>
    <w:rsid w:val="008E640B"/>
    <w:rsid w:val="008E64B0"/>
    <w:rsid w:val="008E6509"/>
    <w:rsid w:val="008E6942"/>
    <w:rsid w:val="008E6CD9"/>
    <w:rsid w:val="008E6D49"/>
    <w:rsid w:val="008E7083"/>
    <w:rsid w:val="008E757D"/>
    <w:rsid w:val="008E7ED2"/>
    <w:rsid w:val="008F07A7"/>
    <w:rsid w:val="008F0C7D"/>
    <w:rsid w:val="008F0D2B"/>
    <w:rsid w:val="008F105C"/>
    <w:rsid w:val="008F2342"/>
    <w:rsid w:val="008F2A52"/>
    <w:rsid w:val="008F2AA9"/>
    <w:rsid w:val="008F3455"/>
    <w:rsid w:val="008F3A03"/>
    <w:rsid w:val="008F3A16"/>
    <w:rsid w:val="008F3A42"/>
    <w:rsid w:val="008F3B43"/>
    <w:rsid w:val="008F3B54"/>
    <w:rsid w:val="008F3E82"/>
    <w:rsid w:val="008F4718"/>
    <w:rsid w:val="008F4E3A"/>
    <w:rsid w:val="008F5434"/>
    <w:rsid w:val="008F54D4"/>
    <w:rsid w:val="008F5A85"/>
    <w:rsid w:val="008F6129"/>
    <w:rsid w:val="008F6153"/>
    <w:rsid w:val="008F623E"/>
    <w:rsid w:val="008F7360"/>
    <w:rsid w:val="008F78E5"/>
    <w:rsid w:val="008F7A4A"/>
    <w:rsid w:val="008F7B17"/>
    <w:rsid w:val="008F7D27"/>
    <w:rsid w:val="008F7FC8"/>
    <w:rsid w:val="009001DF"/>
    <w:rsid w:val="00900676"/>
    <w:rsid w:val="00900D10"/>
    <w:rsid w:val="009014B5"/>
    <w:rsid w:val="00901586"/>
    <w:rsid w:val="0090166E"/>
    <w:rsid w:val="009017DB"/>
    <w:rsid w:val="00902D2D"/>
    <w:rsid w:val="00903F90"/>
    <w:rsid w:val="00904085"/>
    <w:rsid w:val="0090480E"/>
    <w:rsid w:val="00904BC1"/>
    <w:rsid w:val="00904D34"/>
    <w:rsid w:val="009050C5"/>
    <w:rsid w:val="009055C0"/>
    <w:rsid w:val="0090589F"/>
    <w:rsid w:val="00905BA9"/>
    <w:rsid w:val="00905E3B"/>
    <w:rsid w:val="00906109"/>
    <w:rsid w:val="00906798"/>
    <w:rsid w:val="009067A1"/>
    <w:rsid w:val="00906A40"/>
    <w:rsid w:val="00906C97"/>
    <w:rsid w:val="00907695"/>
    <w:rsid w:val="0090779C"/>
    <w:rsid w:val="00907840"/>
    <w:rsid w:val="00907A5B"/>
    <w:rsid w:val="00907BFD"/>
    <w:rsid w:val="00907C74"/>
    <w:rsid w:val="00907E45"/>
    <w:rsid w:val="00907F82"/>
    <w:rsid w:val="00910734"/>
    <w:rsid w:val="00910FE1"/>
    <w:rsid w:val="00911019"/>
    <w:rsid w:val="009113C3"/>
    <w:rsid w:val="00911BBD"/>
    <w:rsid w:val="00911BC8"/>
    <w:rsid w:val="009120C3"/>
    <w:rsid w:val="0091301B"/>
    <w:rsid w:val="0091369B"/>
    <w:rsid w:val="009139C8"/>
    <w:rsid w:val="009144B5"/>
    <w:rsid w:val="00914816"/>
    <w:rsid w:val="00914AD3"/>
    <w:rsid w:val="009154FB"/>
    <w:rsid w:val="0091570A"/>
    <w:rsid w:val="00915732"/>
    <w:rsid w:val="009159B4"/>
    <w:rsid w:val="00916236"/>
    <w:rsid w:val="0091627A"/>
    <w:rsid w:val="009166C4"/>
    <w:rsid w:val="00916A76"/>
    <w:rsid w:val="00916BDE"/>
    <w:rsid w:val="00917518"/>
    <w:rsid w:val="009176EE"/>
    <w:rsid w:val="00917DC6"/>
    <w:rsid w:val="00917FED"/>
    <w:rsid w:val="00920111"/>
    <w:rsid w:val="009204EC"/>
    <w:rsid w:val="0092089E"/>
    <w:rsid w:val="00920F82"/>
    <w:rsid w:val="0092166C"/>
    <w:rsid w:val="00921771"/>
    <w:rsid w:val="0092186A"/>
    <w:rsid w:val="00921B6E"/>
    <w:rsid w:val="00921BB9"/>
    <w:rsid w:val="00921D1E"/>
    <w:rsid w:val="00921D8A"/>
    <w:rsid w:val="00921E5C"/>
    <w:rsid w:val="00921FEA"/>
    <w:rsid w:val="00921FFD"/>
    <w:rsid w:val="0092208B"/>
    <w:rsid w:val="0092227A"/>
    <w:rsid w:val="009223D8"/>
    <w:rsid w:val="00922C62"/>
    <w:rsid w:val="00922DF0"/>
    <w:rsid w:val="00923121"/>
    <w:rsid w:val="00923157"/>
    <w:rsid w:val="00923751"/>
    <w:rsid w:val="009237B0"/>
    <w:rsid w:val="00923BFA"/>
    <w:rsid w:val="00924398"/>
    <w:rsid w:val="0092448C"/>
    <w:rsid w:val="00924633"/>
    <w:rsid w:val="00924D64"/>
    <w:rsid w:val="00924D8E"/>
    <w:rsid w:val="0092532F"/>
    <w:rsid w:val="009253F4"/>
    <w:rsid w:val="009256E8"/>
    <w:rsid w:val="009259A3"/>
    <w:rsid w:val="00925CAF"/>
    <w:rsid w:val="00926249"/>
    <w:rsid w:val="00926D60"/>
    <w:rsid w:val="00926DC6"/>
    <w:rsid w:val="00926F4B"/>
    <w:rsid w:val="009272C2"/>
    <w:rsid w:val="00930283"/>
    <w:rsid w:val="00930920"/>
    <w:rsid w:val="00930E0D"/>
    <w:rsid w:val="00930E51"/>
    <w:rsid w:val="009316CC"/>
    <w:rsid w:val="00932049"/>
    <w:rsid w:val="0093219A"/>
    <w:rsid w:val="00932233"/>
    <w:rsid w:val="009323CD"/>
    <w:rsid w:val="00932987"/>
    <w:rsid w:val="00932B41"/>
    <w:rsid w:val="00932F5C"/>
    <w:rsid w:val="0093334A"/>
    <w:rsid w:val="00933707"/>
    <w:rsid w:val="009338A6"/>
    <w:rsid w:val="00933C22"/>
    <w:rsid w:val="00933D28"/>
    <w:rsid w:val="00933EAF"/>
    <w:rsid w:val="009340E3"/>
    <w:rsid w:val="0093413A"/>
    <w:rsid w:val="00934569"/>
    <w:rsid w:val="00934D28"/>
    <w:rsid w:val="0093501E"/>
    <w:rsid w:val="009353E9"/>
    <w:rsid w:val="00935DE6"/>
    <w:rsid w:val="009360EA"/>
    <w:rsid w:val="009360FD"/>
    <w:rsid w:val="00936A59"/>
    <w:rsid w:val="00937589"/>
    <w:rsid w:val="009375C6"/>
    <w:rsid w:val="00937E11"/>
    <w:rsid w:val="00937EE0"/>
    <w:rsid w:val="00940D78"/>
    <w:rsid w:val="00941165"/>
    <w:rsid w:val="00941345"/>
    <w:rsid w:val="00941411"/>
    <w:rsid w:val="0094155A"/>
    <w:rsid w:val="00941802"/>
    <w:rsid w:val="009418FB"/>
    <w:rsid w:val="00941A4F"/>
    <w:rsid w:val="00941C82"/>
    <w:rsid w:val="00941E97"/>
    <w:rsid w:val="00942276"/>
    <w:rsid w:val="00942593"/>
    <w:rsid w:val="0094275C"/>
    <w:rsid w:val="00942AAA"/>
    <w:rsid w:val="009434C9"/>
    <w:rsid w:val="009436C7"/>
    <w:rsid w:val="00943B1F"/>
    <w:rsid w:val="00944BC3"/>
    <w:rsid w:val="00944DB6"/>
    <w:rsid w:val="00944E31"/>
    <w:rsid w:val="009450F4"/>
    <w:rsid w:val="00945238"/>
    <w:rsid w:val="009453F0"/>
    <w:rsid w:val="00946199"/>
    <w:rsid w:val="0094661B"/>
    <w:rsid w:val="0094693B"/>
    <w:rsid w:val="00946EA7"/>
    <w:rsid w:val="00947146"/>
    <w:rsid w:val="00947301"/>
    <w:rsid w:val="009479ED"/>
    <w:rsid w:val="00947D46"/>
    <w:rsid w:val="00947E94"/>
    <w:rsid w:val="00950004"/>
    <w:rsid w:val="00950C04"/>
    <w:rsid w:val="009511E5"/>
    <w:rsid w:val="009515B4"/>
    <w:rsid w:val="00951A77"/>
    <w:rsid w:val="00951D9F"/>
    <w:rsid w:val="009524E9"/>
    <w:rsid w:val="00952738"/>
    <w:rsid w:val="00952A91"/>
    <w:rsid w:val="00952B4D"/>
    <w:rsid w:val="00953248"/>
    <w:rsid w:val="009532E0"/>
    <w:rsid w:val="0095333C"/>
    <w:rsid w:val="00953544"/>
    <w:rsid w:val="009539CF"/>
    <w:rsid w:val="00953FFD"/>
    <w:rsid w:val="009540C0"/>
    <w:rsid w:val="00954857"/>
    <w:rsid w:val="009548A0"/>
    <w:rsid w:val="009548F2"/>
    <w:rsid w:val="00954C0B"/>
    <w:rsid w:val="00955080"/>
    <w:rsid w:val="009551B0"/>
    <w:rsid w:val="009554F3"/>
    <w:rsid w:val="009558B5"/>
    <w:rsid w:val="00955BE2"/>
    <w:rsid w:val="00955F68"/>
    <w:rsid w:val="00956505"/>
    <w:rsid w:val="009565F4"/>
    <w:rsid w:val="009567B6"/>
    <w:rsid w:val="0095689D"/>
    <w:rsid w:val="009569A2"/>
    <w:rsid w:val="009569C0"/>
    <w:rsid w:val="00956B31"/>
    <w:rsid w:val="00956ECD"/>
    <w:rsid w:val="00956FC0"/>
    <w:rsid w:val="0095736A"/>
    <w:rsid w:val="009573A7"/>
    <w:rsid w:val="009575F1"/>
    <w:rsid w:val="0095771C"/>
    <w:rsid w:val="009579DD"/>
    <w:rsid w:val="00957B18"/>
    <w:rsid w:val="00960105"/>
    <w:rsid w:val="00960335"/>
    <w:rsid w:val="009604EC"/>
    <w:rsid w:val="00960D1C"/>
    <w:rsid w:val="00960F6A"/>
    <w:rsid w:val="00961323"/>
    <w:rsid w:val="009616FD"/>
    <w:rsid w:val="009623EE"/>
    <w:rsid w:val="009626A7"/>
    <w:rsid w:val="00962E7A"/>
    <w:rsid w:val="00963782"/>
    <w:rsid w:val="00963CC9"/>
    <w:rsid w:val="00964693"/>
    <w:rsid w:val="00964B8A"/>
    <w:rsid w:val="00965502"/>
    <w:rsid w:val="0096581F"/>
    <w:rsid w:val="00965E21"/>
    <w:rsid w:val="00966079"/>
    <w:rsid w:val="009660C3"/>
    <w:rsid w:val="0096699E"/>
    <w:rsid w:val="00966A15"/>
    <w:rsid w:val="00966A8B"/>
    <w:rsid w:val="00966E65"/>
    <w:rsid w:val="00967485"/>
    <w:rsid w:val="009676EA"/>
    <w:rsid w:val="00970001"/>
    <w:rsid w:val="00970010"/>
    <w:rsid w:val="0097029E"/>
    <w:rsid w:val="00970327"/>
    <w:rsid w:val="009708E9"/>
    <w:rsid w:val="00970F20"/>
    <w:rsid w:val="00970FB3"/>
    <w:rsid w:val="00971071"/>
    <w:rsid w:val="009710DA"/>
    <w:rsid w:val="00971696"/>
    <w:rsid w:val="00971A31"/>
    <w:rsid w:val="00971A3E"/>
    <w:rsid w:val="00971B45"/>
    <w:rsid w:val="00971C63"/>
    <w:rsid w:val="0097221E"/>
    <w:rsid w:val="0097289E"/>
    <w:rsid w:val="009728D6"/>
    <w:rsid w:val="00972C2D"/>
    <w:rsid w:val="00972DFF"/>
    <w:rsid w:val="00972F65"/>
    <w:rsid w:val="009733A9"/>
    <w:rsid w:val="00973EB0"/>
    <w:rsid w:val="00974D9C"/>
    <w:rsid w:val="00974FB6"/>
    <w:rsid w:val="009750C5"/>
    <w:rsid w:val="009754C4"/>
    <w:rsid w:val="009757EF"/>
    <w:rsid w:val="009759E5"/>
    <w:rsid w:val="00975A3D"/>
    <w:rsid w:val="00975AC3"/>
    <w:rsid w:val="00975D77"/>
    <w:rsid w:val="00975E17"/>
    <w:rsid w:val="00975E41"/>
    <w:rsid w:val="00975E68"/>
    <w:rsid w:val="009763F6"/>
    <w:rsid w:val="009765DE"/>
    <w:rsid w:val="00976A7A"/>
    <w:rsid w:val="00976AD4"/>
    <w:rsid w:val="00976AFF"/>
    <w:rsid w:val="00976B26"/>
    <w:rsid w:val="0097791E"/>
    <w:rsid w:val="00977B5A"/>
    <w:rsid w:val="00977C09"/>
    <w:rsid w:val="00980026"/>
    <w:rsid w:val="00982010"/>
    <w:rsid w:val="00982133"/>
    <w:rsid w:val="00982606"/>
    <w:rsid w:val="00982D60"/>
    <w:rsid w:val="00982DE1"/>
    <w:rsid w:val="009832EA"/>
    <w:rsid w:val="009835E4"/>
    <w:rsid w:val="0098361C"/>
    <w:rsid w:val="00984581"/>
    <w:rsid w:val="00984BB6"/>
    <w:rsid w:val="00984BDE"/>
    <w:rsid w:val="009856FC"/>
    <w:rsid w:val="00985F2A"/>
    <w:rsid w:val="009867D2"/>
    <w:rsid w:val="00987304"/>
    <w:rsid w:val="009876FC"/>
    <w:rsid w:val="00987F78"/>
    <w:rsid w:val="00990405"/>
    <w:rsid w:val="009906A2"/>
    <w:rsid w:val="00990ADB"/>
    <w:rsid w:val="0099107F"/>
    <w:rsid w:val="009915B7"/>
    <w:rsid w:val="009919F3"/>
    <w:rsid w:val="00991CF1"/>
    <w:rsid w:val="00991EC4"/>
    <w:rsid w:val="00992012"/>
    <w:rsid w:val="00992213"/>
    <w:rsid w:val="00992769"/>
    <w:rsid w:val="009927CF"/>
    <w:rsid w:val="00992EA5"/>
    <w:rsid w:val="00992F26"/>
    <w:rsid w:val="00993542"/>
    <w:rsid w:val="009935C6"/>
    <w:rsid w:val="009938A3"/>
    <w:rsid w:val="00993CB1"/>
    <w:rsid w:val="00993F12"/>
    <w:rsid w:val="00993F71"/>
    <w:rsid w:val="00994F05"/>
    <w:rsid w:val="0099522F"/>
    <w:rsid w:val="009954F9"/>
    <w:rsid w:val="00995832"/>
    <w:rsid w:val="009959AD"/>
    <w:rsid w:val="00995B1B"/>
    <w:rsid w:val="00995CFE"/>
    <w:rsid w:val="00995D42"/>
    <w:rsid w:val="009960AF"/>
    <w:rsid w:val="0099643B"/>
    <w:rsid w:val="00996751"/>
    <w:rsid w:val="009969F4"/>
    <w:rsid w:val="00996B0A"/>
    <w:rsid w:val="0099722D"/>
    <w:rsid w:val="0099736A"/>
    <w:rsid w:val="00997546"/>
    <w:rsid w:val="00997BF6"/>
    <w:rsid w:val="009A00F4"/>
    <w:rsid w:val="009A049E"/>
    <w:rsid w:val="009A074E"/>
    <w:rsid w:val="009A0C94"/>
    <w:rsid w:val="009A11C1"/>
    <w:rsid w:val="009A14A1"/>
    <w:rsid w:val="009A173B"/>
    <w:rsid w:val="009A1860"/>
    <w:rsid w:val="009A18E3"/>
    <w:rsid w:val="009A19EF"/>
    <w:rsid w:val="009A1B63"/>
    <w:rsid w:val="009A1B70"/>
    <w:rsid w:val="009A1EA9"/>
    <w:rsid w:val="009A1ED4"/>
    <w:rsid w:val="009A22B0"/>
    <w:rsid w:val="009A2C0F"/>
    <w:rsid w:val="009A2E00"/>
    <w:rsid w:val="009A3993"/>
    <w:rsid w:val="009A39E3"/>
    <w:rsid w:val="009A3B8D"/>
    <w:rsid w:val="009A3E70"/>
    <w:rsid w:val="009A3F19"/>
    <w:rsid w:val="009A3FCB"/>
    <w:rsid w:val="009A43C3"/>
    <w:rsid w:val="009A45CB"/>
    <w:rsid w:val="009A5025"/>
    <w:rsid w:val="009A5EDC"/>
    <w:rsid w:val="009A5FC9"/>
    <w:rsid w:val="009A6647"/>
    <w:rsid w:val="009A6D4C"/>
    <w:rsid w:val="009A6FB5"/>
    <w:rsid w:val="009A7915"/>
    <w:rsid w:val="009A7C0C"/>
    <w:rsid w:val="009A7C9B"/>
    <w:rsid w:val="009A7D7A"/>
    <w:rsid w:val="009B0148"/>
    <w:rsid w:val="009B0231"/>
    <w:rsid w:val="009B07C3"/>
    <w:rsid w:val="009B11CB"/>
    <w:rsid w:val="009B163B"/>
    <w:rsid w:val="009B1F11"/>
    <w:rsid w:val="009B240E"/>
    <w:rsid w:val="009B25B1"/>
    <w:rsid w:val="009B3645"/>
    <w:rsid w:val="009B478D"/>
    <w:rsid w:val="009B47A8"/>
    <w:rsid w:val="009B4F69"/>
    <w:rsid w:val="009B5144"/>
    <w:rsid w:val="009B59BA"/>
    <w:rsid w:val="009B5A68"/>
    <w:rsid w:val="009B5A71"/>
    <w:rsid w:val="009B61C1"/>
    <w:rsid w:val="009B63CB"/>
    <w:rsid w:val="009B68D9"/>
    <w:rsid w:val="009B69B8"/>
    <w:rsid w:val="009B6C29"/>
    <w:rsid w:val="009B75A6"/>
    <w:rsid w:val="009B785B"/>
    <w:rsid w:val="009B797D"/>
    <w:rsid w:val="009B7B2D"/>
    <w:rsid w:val="009B7BB6"/>
    <w:rsid w:val="009C043C"/>
    <w:rsid w:val="009C047F"/>
    <w:rsid w:val="009C06CF"/>
    <w:rsid w:val="009C073B"/>
    <w:rsid w:val="009C0801"/>
    <w:rsid w:val="009C0C65"/>
    <w:rsid w:val="009C123F"/>
    <w:rsid w:val="009C19F1"/>
    <w:rsid w:val="009C1DC0"/>
    <w:rsid w:val="009C271E"/>
    <w:rsid w:val="009C286B"/>
    <w:rsid w:val="009C28F5"/>
    <w:rsid w:val="009C3337"/>
    <w:rsid w:val="009C376F"/>
    <w:rsid w:val="009C3B23"/>
    <w:rsid w:val="009C3EA1"/>
    <w:rsid w:val="009C4360"/>
    <w:rsid w:val="009C4891"/>
    <w:rsid w:val="009C5035"/>
    <w:rsid w:val="009C5B7E"/>
    <w:rsid w:val="009C5B9D"/>
    <w:rsid w:val="009C60DD"/>
    <w:rsid w:val="009C6356"/>
    <w:rsid w:val="009C6923"/>
    <w:rsid w:val="009C6BD2"/>
    <w:rsid w:val="009C6C9E"/>
    <w:rsid w:val="009C7755"/>
    <w:rsid w:val="009C7765"/>
    <w:rsid w:val="009C7769"/>
    <w:rsid w:val="009C781F"/>
    <w:rsid w:val="009C7D79"/>
    <w:rsid w:val="009C7E60"/>
    <w:rsid w:val="009D00AF"/>
    <w:rsid w:val="009D08E9"/>
    <w:rsid w:val="009D0C67"/>
    <w:rsid w:val="009D0CFB"/>
    <w:rsid w:val="009D0E5E"/>
    <w:rsid w:val="009D0F0E"/>
    <w:rsid w:val="009D134F"/>
    <w:rsid w:val="009D143D"/>
    <w:rsid w:val="009D14B9"/>
    <w:rsid w:val="009D1857"/>
    <w:rsid w:val="009D1CFB"/>
    <w:rsid w:val="009D216F"/>
    <w:rsid w:val="009D227B"/>
    <w:rsid w:val="009D24D0"/>
    <w:rsid w:val="009D2F8D"/>
    <w:rsid w:val="009D30FC"/>
    <w:rsid w:val="009D3388"/>
    <w:rsid w:val="009D35B9"/>
    <w:rsid w:val="009D384B"/>
    <w:rsid w:val="009D3AEB"/>
    <w:rsid w:val="009D4A77"/>
    <w:rsid w:val="009D4C77"/>
    <w:rsid w:val="009D4F0B"/>
    <w:rsid w:val="009D553D"/>
    <w:rsid w:val="009D5654"/>
    <w:rsid w:val="009D588F"/>
    <w:rsid w:val="009D5BB0"/>
    <w:rsid w:val="009D62D4"/>
    <w:rsid w:val="009D6381"/>
    <w:rsid w:val="009D771B"/>
    <w:rsid w:val="009D7A2E"/>
    <w:rsid w:val="009D7CA8"/>
    <w:rsid w:val="009E055B"/>
    <w:rsid w:val="009E0A14"/>
    <w:rsid w:val="009E0F1D"/>
    <w:rsid w:val="009E0F7D"/>
    <w:rsid w:val="009E121B"/>
    <w:rsid w:val="009E184E"/>
    <w:rsid w:val="009E1983"/>
    <w:rsid w:val="009E19B0"/>
    <w:rsid w:val="009E1BFE"/>
    <w:rsid w:val="009E22F3"/>
    <w:rsid w:val="009E2347"/>
    <w:rsid w:val="009E2607"/>
    <w:rsid w:val="009E2675"/>
    <w:rsid w:val="009E29C4"/>
    <w:rsid w:val="009E30C9"/>
    <w:rsid w:val="009E31DB"/>
    <w:rsid w:val="009E3B91"/>
    <w:rsid w:val="009E3D87"/>
    <w:rsid w:val="009E3DF5"/>
    <w:rsid w:val="009E3FE0"/>
    <w:rsid w:val="009E48FA"/>
    <w:rsid w:val="009E58E0"/>
    <w:rsid w:val="009E5FCB"/>
    <w:rsid w:val="009E60CB"/>
    <w:rsid w:val="009E6213"/>
    <w:rsid w:val="009E64AB"/>
    <w:rsid w:val="009E6601"/>
    <w:rsid w:val="009E6767"/>
    <w:rsid w:val="009E6899"/>
    <w:rsid w:val="009E700F"/>
    <w:rsid w:val="009E7524"/>
    <w:rsid w:val="009E7B9B"/>
    <w:rsid w:val="009E7E71"/>
    <w:rsid w:val="009F0931"/>
    <w:rsid w:val="009F148E"/>
    <w:rsid w:val="009F17B4"/>
    <w:rsid w:val="009F21F7"/>
    <w:rsid w:val="009F2C53"/>
    <w:rsid w:val="009F309B"/>
    <w:rsid w:val="009F333D"/>
    <w:rsid w:val="009F3A2D"/>
    <w:rsid w:val="009F3B03"/>
    <w:rsid w:val="009F3CC1"/>
    <w:rsid w:val="009F3F26"/>
    <w:rsid w:val="009F488F"/>
    <w:rsid w:val="009F4B62"/>
    <w:rsid w:val="009F51AD"/>
    <w:rsid w:val="009F5420"/>
    <w:rsid w:val="009F56A9"/>
    <w:rsid w:val="009F5932"/>
    <w:rsid w:val="009F5BB4"/>
    <w:rsid w:val="009F5CE2"/>
    <w:rsid w:val="009F61D7"/>
    <w:rsid w:val="009F654C"/>
    <w:rsid w:val="009F69D3"/>
    <w:rsid w:val="009F7310"/>
    <w:rsid w:val="009F7510"/>
    <w:rsid w:val="009F75B7"/>
    <w:rsid w:val="009F77E4"/>
    <w:rsid w:val="009F7EE8"/>
    <w:rsid w:val="00A0011E"/>
    <w:rsid w:val="00A005B9"/>
    <w:rsid w:val="00A005BD"/>
    <w:rsid w:val="00A009A4"/>
    <w:rsid w:val="00A00D5B"/>
    <w:rsid w:val="00A00DB2"/>
    <w:rsid w:val="00A013AC"/>
    <w:rsid w:val="00A016DE"/>
    <w:rsid w:val="00A0174E"/>
    <w:rsid w:val="00A0190C"/>
    <w:rsid w:val="00A01AFB"/>
    <w:rsid w:val="00A01F2B"/>
    <w:rsid w:val="00A0268C"/>
    <w:rsid w:val="00A02D95"/>
    <w:rsid w:val="00A02F18"/>
    <w:rsid w:val="00A0398D"/>
    <w:rsid w:val="00A03CFC"/>
    <w:rsid w:val="00A03F20"/>
    <w:rsid w:val="00A04AD8"/>
    <w:rsid w:val="00A04B87"/>
    <w:rsid w:val="00A04D52"/>
    <w:rsid w:val="00A05216"/>
    <w:rsid w:val="00A0597C"/>
    <w:rsid w:val="00A05B84"/>
    <w:rsid w:val="00A05C38"/>
    <w:rsid w:val="00A05C69"/>
    <w:rsid w:val="00A06072"/>
    <w:rsid w:val="00A061C4"/>
    <w:rsid w:val="00A06277"/>
    <w:rsid w:val="00A06609"/>
    <w:rsid w:val="00A067A0"/>
    <w:rsid w:val="00A06A0E"/>
    <w:rsid w:val="00A06D5B"/>
    <w:rsid w:val="00A073AE"/>
    <w:rsid w:val="00A07A08"/>
    <w:rsid w:val="00A07D19"/>
    <w:rsid w:val="00A07F30"/>
    <w:rsid w:val="00A10345"/>
    <w:rsid w:val="00A107DC"/>
    <w:rsid w:val="00A10961"/>
    <w:rsid w:val="00A11475"/>
    <w:rsid w:val="00A117BC"/>
    <w:rsid w:val="00A11BE9"/>
    <w:rsid w:val="00A11C16"/>
    <w:rsid w:val="00A11E61"/>
    <w:rsid w:val="00A12961"/>
    <w:rsid w:val="00A12F0F"/>
    <w:rsid w:val="00A13348"/>
    <w:rsid w:val="00A135EC"/>
    <w:rsid w:val="00A13911"/>
    <w:rsid w:val="00A139FB"/>
    <w:rsid w:val="00A13AE0"/>
    <w:rsid w:val="00A13B7C"/>
    <w:rsid w:val="00A1434C"/>
    <w:rsid w:val="00A1440A"/>
    <w:rsid w:val="00A147ED"/>
    <w:rsid w:val="00A1491F"/>
    <w:rsid w:val="00A14AF5"/>
    <w:rsid w:val="00A14B87"/>
    <w:rsid w:val="00A15128"/>
    <w:rsid w:val="00A15903"/>
    <w:rsid w:val="00A15B78"/>
    <w:rsid w:val="00A15D4C"/>
    <w:rsid w:val="00A15DD9"/>
    <w:rsid w:val="00A16124"/>
    <w:rsid w:val="00A163C6"/>
    <w:rsid w:val="00A163F6"/>
    <w:rsid w:val="00A16A90"/>
    <w:rsid w:val="00A16B15"/>
    <w:rsid w:val="00A16CE1"/>
    <w:rsid w:val="00A172E4"/>
    <w:rsid w:val="00A17638"/>
    <w:rsid w:val="00A176E0"/>
    <w:rsid w:val="00A17BB7"/>
    <w:rsid w:val="00A20234"/>
    <w:rsid w:val="00A20B88"/>
    <w:rsid w:val="00A21414"/>
    <w:rsid w:val="00A215CC"/>
    <w:rsid w:val="00A2202F"/>
    <w:rsid w:val="00A2205D"/>
    <w:rsid w:val="00A22065"/>
    <w:rsid w:val="00A22484"/>
    <w:rsid w:val="00A22A29"/>
    <w:rsid w:val="00A22A76"/>
    <w:rsid w:val="00A2309B"/>
    <w:rsid w:val="00A23305"/>
    <w:rsid w:val="00A23C0A"/>
    <w:rsid w:val="00A23D81"/>
    <w:rsid w:val="00A23DB3"/>
    <w:rsid w:val="00A248FA"/>
    <w:rsid w:val="00A24A90"/>
    <w:rsid w:val="00A24D97"/>
    <w:rsid w:val="00A24D9E"/>
    <w:rsid w:val="00A25317"/>
    <w:rsid w:val="00A254FB"/>
    <w:rsid w:val="00A25B01"/>
    <w:rsid w:val="00A25C2D"/>
    <w:rsid w:val="00A2673F"/>
    <w:rsid w:val="00A267DE"/>
    <w:rsid w:val="00A26CE8"/>
    <w:rsid w:val="00A26D8C"/>
    <w:rsid w:val="00A26F93"/>
    <w:rsid w:val="00A26FD8"/>
    <w:rsid w:val="00A2710E"/>
    <w:rsid w:val="00A274CA"/>
    <w:rsid w:val="00A27848"/>
    <w:rsid w:val="00A2785E"/>
    <w:rsid w:val="00A27C0A"/>
    <w:rsid w:val="00A27CE7"/>
    <w:rsid w:val="00A30704"/>
    <w:rsid w:val="00A3086C"/>
    <w:rsid w:val="00A30CD5"/>
    <w:rsid w:val="00A31475"/>
    <w:rsid w:val="00A3163F"/>
    <w:rsid w:val="00A33287"/>
    <w:rsid w:val="00A333CD"/>
    <w:rsid w:val="00A33500"/>
    <w:rsid w:val="00A3353C"/>
    <w:rsid w:val="00A33581"/>
    <w:rsid w:val="00A33668"/>
    <w:rsid w:val="00A33E14"/>
    <w:rsid w:val="00A3400B"/>
    <w:rsid w:val="00A3457B"/>
    <w:rsid w:val="00A34650"/>
    <w:rsid w:val="00A3475A"/>
    <w:rsid w:val="00A34A18"/>
    <w:rsid w:val="00A3501D"/>
    <w:rsid w:val="00A353A0"/>
    <w:rsid w:val="00A353D6"/>
    <w:rsid w:val="00A3542E"/>
    <w:rsid w:val="00A3553D"/>
    <w:rsid w:val="00A3555D"/>
    <w:rsid w:val="00A3575E"/>
    <w:rsid w:val="00A358C1"/>
    <w:rsid w:val="00A35E04"/>
    <w:rsid w:val="00A35E22"/>
    <w:rsid w:val="00A35FD8"/>
    <w:rsid w:val="00A360D3"/>
    <w:rsid w:val="00A3630B"/>
    <w:rsid w:val="00A363E0"/>
    <w:rsid w:val="00A364CA"/>
    <w:rsid w:val="00A3691B"/>
    <w:rsid w:val="00A36A21"/>
    <w:rsid w:val="00A36CE6"/>
    <w:rsid w:val="00A374C5"/>
    <w:rsid w:val="00A37E9F"/>
    <w:rsid w:val="00A37F12"/>
    <w:rsid w:val="00A41206"/>
    <w:rsid w:val="00A41223"/>
    <w:rsid w:val="00A4129D"/>
    <w:rsid w:val="00A41471"/>
    <w:rsid w:val="00A41E47"/>
    <w:rsid w:val="00A42016"/>
    <w:rsid w:val="00A42167"/>
    <w:rsid w:val="00A42343"/>
    <w:rsid w:val="00A42416"/>
    <w:rsid w:val="00A42441"/>
    <w:rsid w:val="00A42C58"/>
    <w:rsid w:val="00A43023"/>
    <w:rsid w:val="00A430E2"/>
    <w:rsid w:val="00A431A1"/>
    <w:rsid w:val="00A43243"/>
    <w:rsid w:val="00A4350B"/>
    <w:rsid w:val="00A43DD5"/>
    <w:rsid w:val="00A43ECC"/>
    <w:rsid w:val="00A43F1C"/>
    <w:rsid w:val="00A44EAD"/>
    <w:rsid w:val="00A45103"/>
    <w:rsid w:val="00A452E1"/>
    <w:rsid w:val="00A454BB"/>
    <w:rsid w:val="00A456BB"/>
    <w:rsid w:val="00A457B9"/>
    <w:rsid w:val="00A45BF4"/>
    <w:rsid w:val="00A45D28"/>
    <w:rsid w:val="00A460AD"/>
    <w:rsid w:val="00A46445"/>
    <w:rsid w:val="00A4662A"/>
    <w:rsid w:val="00A47245"/>
    <w:rsid w:val="00A47651"/>
    <w:rsid w:val="00A505BE"/>
    <w:rsid w:val="00A50CC7"/>
    <w:rsid w:val="00A50DA4"/>
    <w:rsid w:val="00A5140A"/>
    <w:rsid w:val="00A517D1"/>
    <w:rsid w:val="00A51C61"/>
    <w:rsid w:val="00A51DA1"/>
    <w:rsid w:val="00A51EB8"/>
    <w:rsid w:val="00A51EF6"/>
    <w:rsid w:val="00A51F18"/>
    <w:rsid w:val="00A5220A"/>
    <w:rsid w:val="00A528C7"/>
    <w:rsid w:val="00A52CC0"/>
    <w:rsid w:val="00A533C3"/>
    <w:rsid w:val="00A53520"/>
    <w:rsid w:val="00A53D58"/>
    <w:rsid w:val="00A542EB"/>
    <w:rsid w:val="00A54468"/>
    <w:rsid w:val="00A544CC"/>
    <w:rsid w:val="00A5458A"/>
    <w:rsid w:val="00A545F1"/>
    <w:rsid w:val="00A54846"/>
    <w:rsid w:val="00A54ADD"/>
    <w:rsid w:val="00A55282"/>
    <w:rsid w:val="00A55796"/>
    <w:rsid w:val="00A55AB2"/>
    <w:rsid w:val="00A567B3"/>
    <w:rsid w:val="00A56DE9"/>
    <w:rsid w:val="00A56E26"/>
    <w:rsid w:val="00A56EF6"/>
    <w:rsid w:val="00A5709A"/>
    <w:rsid w:val="00A571F9"/>
    <w:rsid w:val="00A5743B"/>
    <w:rsid w:val="00A575B5"/>
    <w:rsid w:val="00A57970"/>
    <w:rsid w:val="00A60E68"/>
    <w:rsid w:val="00A61447"/>
    <w:rsid w:val="00A61BBA"/>
    <w:rsid w:val="00A625C6"/>
    <w:rsid w:val="00A6279F"/>
    <w:rsid w:val="00A627C4"/>
    <w:rsid w:val="00A62CD6"/>
    <w:rsid w:val="00A6356F"/>
    <w:rsid w:val="00A63BED"/>
    <w:rsid w:val="00A64022"/>
    <w:rsid w:val="00A649DF"/>
    <w:rsid w:val="00A64D55"/>
    <w:rsid w:val="00A653D2"/>
    <w:rsid w:val="00A6549A"/>
    <w:rsid w:val="00A65651"/>
    <w:rsid w:val="00A657C2"/>
    <w:rsid w:val="00A65807"/>
    <w:rsid w:val="00A66052"/>
    <w:rsid w:val="00A660FD"/>
    <w:rsid w:val="00A6610A"/>
    <w:rsid w:val="00A6630D"/>
    <w:rsid w:val="00A668CC"/>
    <w:rsid w:val="00A66B68"/>
    <w:rsid w:val="00A66CA1"/>
    <w:rsid w:val="00A66D4E"/>
    <w:rsid w:val="00A6734D"/>
    <w:rsid w:val="00A673F7"/>
    <w:rsid w:val="00A67776"/>
    <w:rsid w:val="00A67E73"/>
    <w:rsid w:val="00A70251"/>
    <w:rsid w:val="00A7094C"/>
    <w:rsid w:val="00A70C97"/>
    <w:rsid w:val="00A70FBC"/>
    <w:rsid w:val="00A71104"/>
    <w:rsid w:val="00A71361"/>
    <w:rsid w:val="00A71571"/>
    <w:rsid w:val="00A71785"/>
    <w:rsid w:val="00A720F2"/>
    <w:rsid w:val="00A7236C"/>
    <w:rsid w:val="00A723C8"/>
    <w:rsid w:val="00A72409"/>
    <w:rsid w:val="00A725CA"/>
    <w:rsid w:val="00A72BBD"/>
    <w:rsid w:val="00A72DEF"/>
    <w:rsid w:val="00A72E0B"/>
    <w:rsid w:val="00A72FE5"/>
    <w:rsid w:val="00A732F2"/>
    <w:rsid w:val="00A73596"/>
    <w:rsid w:val="00A73B96"/>
    <w:rsid w:val="00A73BF4"/>
    <w:rsid w:val="00A7401C"/>
    <w:rsid w:val="00A741BA"/>
    <w:rsid w:val="00A74DF9"/>
    <w:rsid w:val="00A74FD2"/>
    <w:rsid w:val="00A75172"/>
    <w:rsid w:val="00A7542E"/>
    <w:rsid w:val="00A756A1"/>
    <w:rsid w:val="00A7570C"/>
    <w:rsid w:val="00A75F4A"/>
    <w:rsid w:val="00A76B57"/>
    <w:rsid w:val="00A76C0D"/>
    <w:rsid w:val="00A77A99"/>
    <w:rsid w:val="00A802BE"/>
    <w:rsid w:val="00A803B6"/>
    <w:rsid w:val="00A8088A"/>
    <w:rsid w:val="00A80E49"/>
    <w:rsid w:val="00A810C9"/>
    <w:rsid w:val="00A814AA"/>
    <w:rsid w:val="00A81C86"/>
    <w:rsid w:val="00A8200F"/>
    <w:rsid w:val="00A82561"/>
    <w:rsid w:val="00A82907"/>
    <w:rsid w:val="00A82A9F"/>
    <w:rsid w:val="00A82E91"/>
    <w:rsid w:val="00A834AD"/>
    <w:rsid w:val="00A83FEF"/>
    <w:rsid w:val="00A84267"/>
    <w:rsid w:val="00A842AE"/>
    <w:rsid w:val="00A8493F"/>
    <w:rsid w:val="00A84FF7"/>
    <w:rsid w:val="00A854CC"/>
    <w:rsid w:val="00A858B8"/>
    <w:rsid w:val="00A859D6"/>
    <w:rsid w:val="00A86140"/>
    <w:rsid w:val="00A86A47"/>
    <w:rsid w:val="00A86B34"/>
    <w:rsid w:val="00A86DD4"/>
    <w:rsid w:val="00A86E1E"/>
    <w:rsid w:val="00A86FBD"/>
    <w:rsid w:val="00A8755C"/>
    <w:rsid w:val="00A87F91"/>
    <w:rsid w:val="00A902C5"/>
    <w:rsid w:val="00A90331"/>
    <w:rsid w:val="00A906C6"/>
    <w:rsid w:val="00A907C8"/>
    <w:rsid w:val="00A90A5C"/>
    <w:rsid w:val="00A90D58"/>
    <w:rsid w:val="00A910DB"/>
    <w:rsid w:val="00A91523"/>
    <w:rsid w:val="00A91823"/>
    <w:rsid w:val="00A92212"/>
    <w:rsid w:val="00A924FF"/>
    <w:rsid w:val="00A9267A"/>
    <w:rsid w:val="00A92AF9"/>
    <w:rsid w:val="00A92D72"/>
    <w:rsid w:val="00A93554"/>
    <w:rsid w:val="00A937A3"/>
    <w:rsid w:val="00A93901"/>
    <w:rsid w:val="00A93E5C"/>
    <w:rsid w:val="00A9465B"/>
    <w:rsid w:val="00A94CAC"/>
    <w:rsid w:val="00A9507B"/>
    <w:rsid w:val="00A9524D"/>
    <w:rsid w:val="00A958BD"/>
    <w:rsid w:val="00A95E14"/>
    <w:rsid w:val="00A95EFA"/>
    <w:rsid w:val="00A96194"/>
    <w:rsid w:val="00A967DC"/>
    <w:rsid w:val="00A96C3D"/>
    <w:rsid w:val="00A96C46"/>
    <w:rsid w:val="00A97393"/>
    <w:rsid w:val="00A97675"/>
    <w:rsid w:val="00A978D0"/>
    <w:rsid w:val="00A97C46"/>
    <w:rsid w:val="00A97FB4"/>
    <w:rsid w:val="00AA0480"/>
    <w:rsid w:val="00AA08F1"/>
    <w:rsid w:val="00AA0A0C"/>
    <w:rsid w:val="00AA0F56"/>
    <w:rsid w:val="00AA119E"/>
    <w:rsid w:val="00AA12C0"/>
    <w:rsid w:val="00AA15DF"/>
    <w:rsid w:val="00AA1B5F"/>
    <w:rsid w:val="00AA1B69"/>
    <w:rsid w:val="00AA1D77"/>
    <w:rsid w:val="00AA1F92"/>
    <w:rsid w:val="00AA1FE0"/>
    <w:rsid w:val="00AA2593"/>
    <w:rsid w:val="00AA2783"/>
    <w:rsid w:val="00AA2B32"/>
    <w:rsid w:val="00AA36C5"/>
    <w:rsid w:val="00AA37C0"/>
    <w:rsid w:val="00AA3C54"/>
    <w:rsid w:val="00AA3DC9"/>
    <w:rsid w:val="00AA3F6A"/>
    <w:rsid w:val="00AA409C"/>
    <w:rsid w:val="00AA46FC"/>
    <w:rsid w:val="00AA483E"/>
    <w:rsid w:val="00AA4C3A"/>
    <w:rsid w:val="00AA528B"/>
    <w:rsid w:val="00AA59DE"/>
    <w:rsid w:val="00AA5BAB"/>
    <w:rsid w:val="00AA6067"/>
    <w:rsid w:val="00AA621B"/>
    <w:rsid w:val="00AA64C0"/>
    <w:rsid w:val="00AA6F98"/>
    <w:rsid w:val="00AA7348"/>
    <w:rsid w:val="00AA73F5"/>
    <w:rsid w:val="00AA7594"/>
    <w:rsid w:val="00AA7609"/>
    <w:rsid w:val="00AA7BF8"/>
    <w:rsid w:val="00AA7C7C"/>
    <w:rsid w:val="00AA7DCF"/>
    <w:rsid w:val="00AB0588"/>
    <w:rsid w:val="00AB107F"/>
    <w:rsid w:val="00AB14B0"/>
    <w:rsid w:val="00AB1ECE"/>
    <w:rsid w:val="00AB1EF1"/>
    <w:rsid w:val="00AB2501"/>
    <w:rsid w:val="00AB3702"/>
    <w:rsid w:val="00AB3857"/>
    <w:rsid w:val="00AB3B3D"/>
    <w:rsid w:val="00AB3EB8"/>
    <w:rsid w:val="00AB43D9"/>
    <w:rsid w:val="00AB442D"/>
    <w:rsid w:val="00AB44B5"/>
    <w:rsid w:val="00AB490B"/>
    <w:rsid w:val="00AB4FF1"/>
    <w:rsid w:val="00AB5185"/>
    <w:rsid w:val="00AB5C3E"/>
    <w:rsid w:val="00AB6541"/>
    <w:rsid w:val="00AB6BF4"/>
    <w:rsid w:val="00AB71DA"/>
    <w:rsid w:val="00AB7272"/>
    <w:rsid w:val="00AB728D"/>
    <w:rsid w:val="00AB7633"/>
    <w:rsid w:val="00AB78AD"/>
    <w:rsid w:val="00AB7B6D"/>
    <w:rsid w:val="00AB7C06"/>
    <w:rsid w:val="00AC030A"/>
    <w:rsid w:val="00AC0867"/>
    <w:rsid w:val="00AC0900"/>
    <w:rsid w:val="00AC09A0"/>
    <w:rsid w:val="00AC0D83"/>
    <w:rsid w:val="00AC160A"/>
    <w:rsid w:val="00AC1ABE"/>
    <w:rsid w:val="00AC2663"/>
    <w:rsid w:val="00AC39DF"/>
    <w:rsid w:val="00AC3B19"/>
    <w:rsid w:val="00AC3B87"/>
    <w:rsid w:val="00AC41F8"/>
    <w:rsid w:val="00AC4678"/>
    <w:rsid w:val="00AC46EE"/>
    <w:rsid w:val="00AC54C3"/>
    <w:rsid w:val="00AC579C"/>
    <w:rsid w:val="00AC5ECB"/>
    <w:rsid w:val="00AC61D9"/>
    <w:rsid w:val="00AC621E"/>
    <w:rsid w:val="00AC646B"/>
    <w:rsid w:val="00AC6CA1"/>
    <w:rsid w:val="00AC746D"/>
    <w:rsid w:val="00AC7802"/>
    <w:rsid w:val="00AD0125"/>
    <w:rsid w:val="00AD0318"/>
    <w:rsid w:val="00AD032B"/>
    <w:rsid w:val="00AD0688"/>
    <w:rsid w:val="00AD092E"/>
    <w:rsid w:val="00AD0D81"/>
    <w:rsid w:val="00AD0FCB"/>
    <w:rsid w:val="00AD0FCE"/>
    <w:rsid w:val="00AD17BE"/>
    <w:rsid w:val="00AD192C"/>
    <w:rsid w:val="00AD1AE0"/>
    <w:rsid w:val="00AD1AE8"/>
    <w:rsid w:val="00AD1D1B"/>
    <w:rsid w:val="00AD2192"/>
    <w:rsid w:val="00AD27AD"/>
    <w:rsid w:val="00AD2B3F"/>
    <w:rsid w:val="00AD334B"/>
    <w:rsid w:val="00AD345E"/>
    <w:rsid w:val="00AD3DC9"/>
    <w:rsid w:val="00AD3E56"/>
    <w:rsid w:val="00AD4056"/>
    <w:rsid w:val="00AD45FF"/>
    <w:rsid w:val="00AD49E4"/>
    <w:rsid w:val="00AD4A23"/>
    <w:rsid w:val="00AD4A49"/>
    <w:rsid w:val="00AD4B6E"/>
    <w:rsid w:val="00AD4EE7"/>
    <w:rsid w:val="00AD52F6"/>
    <w:rsid w:val="00AD59D9"/>
    <w:rsid w:val="00AD5A0A"/>
    <w:rsid w:val="00AD6679"/>
    <w:rsid w:val="00AD67E3"/>
    <w:rsid w:val="00AD685F"/>
    <w:rsid w:val="00AD70ED"/>
    <w:rsid w:val="00AD7106"/>
    <w:rsid w:val="00AD74F7"/>
    <w:rsid w:val="00AD78A6"/>
    <w:rsid w:val="00AD78DD"/>
    <w:rsid w:val="00AD7936"/>
    <w:rsid w:val="00AD7DBE"/>
    <w:rsid w:val="00AE02E0"/>
    <w:rsid w:val="00AE05AE"/>
    <w:rsid w:val="00AE0CEC"/>
    <w:rsid w:val="00AE124C"/>
    <w:rsid w:val="00AE1707"/>
    <w:rsid w:val="00AE1D97"/>
    <w:rsid w:val="00AE1DE4"/>
    <w:rsid w:val="00AE23E6"/>
    <w:rsid w:val="00AE2563"/>
    <w:rsid w:val="00AE2DE4"/>
    <w:rsid w:val="00AE2E79"/>
    <w:rsid w:val="00AE2EBC"/>
    <w:rsid w:val="00AE36B2"/>
    <w:rsid w:val="00AE3762"/>
    <w:rsid w:val="00AE3BB2"/>
    <w:rsid w:val="00AE4032"/>
    <w:rsid w:val="00AE4695"/>
    <w:rsid w:val="00AE48A9"/>
    <w:rsid w:val="00AE4930"/>
    <w:rsid w:val="00AE49B2"/>
    <w:rsid w:val="00AE4F29"/>
    <w:rsid w:val="00AE4F56"/>
    <w:rsid w:val="00AE5519"/>
    <w:rsid w:val="00AE571D"/>
    <w:rsid w:val="00AE595D"/>
    <w:rsid w:val="00AE5F75"/>
    <w:rsid w:val="00AE61C6"/>
    <w:rsid w:val="00AE6211"/>
    <w:rsid w:val="00AE6554"/>
    <w:rsid w:val="00AE66C9"/>
    <w:rsid w:val="00AE6703"/>
    <w:rsid w:val="00AE69D6"/>
    <w:rsid w:val="00AE6A45"/>
    <w:rsid w:val="00AE6A64"/>
    <w:rsid w:val="00AE6B3E"/>
    <w:rsid w:val="00AE6D5D"/>
    <w:rsid w:val="00AE6FFF"/>
    <w:rsid w:val="00AE746D"/>
    <w:rsid w:val="00AE760A"/>
    <w:rsid w:val="00AE7700"/>
    <w:rsid w:val="00AE790E"/>
    <w:rsid w:val="00AE796C"/>
    <w:rsid w:val="00AE7C4E"/>
    <w:rsid w:val="00AF026A"/>
    <w:rsid w:val="00AF02F2"/>
    <w:rsid w:val="00AF03A8"/>
    <w:rsid w:val="00AF0406"/>
    <w:rsid w:val="00AF04F8"/>
    <w:rsid w:val="00AF0550"/>
    <w:rsid w:val="00AF05C9"/>
    <w:rsid w:val="00AF0AF1"/>
    <w:rsid w:val="00AF0BA2"/>
    <w:rsid w:val="00AF0EC6"/>
    <w:rsid w:val="00AF1971"/>
    <w:rsid w:val="00AF20B4"/>
    <w:rsid w:val="00AF2138"/>
    <w:rsid w:val="00AF2821"/>
    <w:rsid w:val="00AF2DD4"/>
    <w:rsid w:val="00AF335C"/>
    <w:rsid w:val="00AF35D1"/>
    <w:rsid w:val="00AF3B82"/>
    <w:rsid w:val="00AF3C70"/>
    <w:rsid w:val="00AF3F05"/>
    <w:rsid w:val="00AF4167"/>
    <w:rsid w:val="00AF4A59"/>
    <w:rsid w:val="00AF4C44"/>
    <w:rsid w:val="00AF4EE5"/>
    <w:rsid w:val="00AF5686"/>
    <w:rsid w:val="00AF576E"/>
    <w:rsid w:val="00AF5A7E"/>
    <w:rsid w:val="00AF5F47"/>
    <w:rsid w:val="00AF66A4"/>
    <w:rsid w:val="00AF6B7B"/>
    <w:rsid w:val="00AF6D6E"/>
    <w:rsid w:val="00AF6FC3"/>
    <w:rsid w:val="00AF7263"/>
    <w:rsid w:val="00AF7406"/>
    <w:rsid w:val="00AF7534"/>
    <w:rsid w:val="00AF7802"/>
    <w:rsid w:val="00AF78C7"/>
    <w:rsid w:val="00AF7924"/>
    <w:rsid w:val="00AF7C5B"/>
    <w:rsid w:val="00AF7F91"/>
    <w:rsid w:val="00B002AC"/>
    <w:rsid w:val="00B00629"/>
    <w:rsid w:val="00B00BAA"/>
    <w:rsid w:val="00B00C3B"/>
    <w:rsid w:val="00B00CDA"/>
    <w:rsid w:val="00B00E78"/>
    <w:rsid w:val="00B00FE2"/>
    <w:rsid w:val="00B0187D"/>
    <w:rsid w:val="00B01BB8"/>
    <w:rsid w:val="00B02119"/>
    <w:rsid w:val="00B02E03"/>
    <w:rsid w:val="00B02EFD"/>
    <w:rsid w:val="00B02FC2"/>
    <w:rsid w:val="00B033C1"/>
    <w:rsid w:val="00B039D2"/>
    <w:rsid w:val="00B03AC9"/>
    <w:rsid w:val="00B0406C"/>
    <w:rsid w:val="00B0454F"/>
    <w:rsid w:val="00B04751"/>
    <w:rsid w:val="00B04972"/>
    <w:rsid w:val="00B04B69"/>
    <w:rsid w:val="00B04C19"/>
    <w:rsid w:val="00B04CA0"/>
    <w:rsid w:val="00B04DEC"/>
    <w:rsid w:val="00B04E21"/>
    <w:rsid w:val="00B04EEB"/>
    <w:rsid w:val="00B0523E"/>
    <w:rsid w:val="00B05298"/>
    <w:rsid w:val="00B0547F"/>
    <w:rsid w:val="00B057FD"/>
    <w:rsid w:val="00B0597C"/>
    <w:rsid w:val="00B05BB1"/>
    <w:rsid w:val="00B0683B"/>
    <w:rsid w:val="00B06995"/>
    <w:rsid w:val="00B0704A"/>
    <w:rsid w:val="00B070E5"/>
    <w:rsid w:val="00B0742F"/>
    <w:rsid w:val="00B07795"/>
    <w:rsid w:val="00B07DAD"/>
    <w:rsid w:val="00B07E88"/>
    <w:rsid w:val="00B1035C"/>
    <w:rsid w:val="00B1044A"/>
    <w:rsid w:val="00B10617"/>
    <w:rsid w:val="00B10769"/>
    <w:rsid w:val="00B10847"/>
    <w:rsid w:val="00B109E3"/>
    <w:rsid w:val="00B10A21"/>
    <w:rsid w:val="00B10CC9"/>
    <w:rsid w:val="00B10EC7"/>
    <w:rsid w:val="00B117EC"/>
    <w:rsid w:val="00B11905"/>
    <w:rsid w:val="00B12011"/>
    <w:rsid w:val="00B125F9"/>
    <w:rsid w:val="00B12625"/>
    <w:rsid w:val="00B126AA"/>
    <w:rsid w:val="00B128E3"/>
    <w:rsid w:val="00B12C50"/>
    <w:rsid w:val="00B134F2"/>
    <w:rsid w:val="00B13548"/>
    <w:rsid w:val="00B1459E"/>
    <w:rsid w:val="00B146F9"/>
    <w:rsid w:val="00B1508B"/>
    <w:rsid w:val="00B157D5"/>
    <w:rsid w:val="00B15B01"/>
    <w:rsid w:val="00B15B63"/>
    <w:rsid w:val="00B167CE"/>
    <w:rsid w:val="00B16CA3"/>
    <w:rsid w:val="00B16D41"/>
    <w:rsid w:val="00B16E25"/>
    <w:rsid w:val="00B16F8F"/>
    <w:rsid w:val="00B16FBA"/>
    <w:rsid w:val="00B170A3"/>
    <w:rsid w:val="00B172B4"/>
    <w:rsid w:val="00B17517"/>
    <w:rsid w:val="00B1775D"/>
    <w:rsid w:val="00B17784"/>
    <w:rsid w:val="00B17AA8"/>
    <w:rsid w:val="00B17E2F"/>
    <w:rsid w:val="00B20041"/>
    <w:rsid w:val="00B20A6D"/>
    <w:rsid w:val="00B20FE4"/>
    <w:rsid w:val="00B20FF7"/>
    <w:rsid w:val="00B214DA"/>
    <w:rsid w:val="00B21534"/>
    <w:rsid w:val="00B2163C"/>
    <w:rsid w:val="00B21F21"/>
    <w:rsid w:val="00B22040"/>
    <w:rsid w:val="00B227EB"/>
    <w:rsid w:val="00B22AED"/>
    <w:rsid w:val="00B22C46"/>
    <w:rsid w:val="00B232F2"/>
    <w:rsid w:val="00B23667"/>
    <w:rsid w:val="00B23726"/>
    <w:rsid w:val="00B23BCD"/>
    <w:rsid w:val="00B23D30"/>
    <w:rsid w:val="00B243D4"/>
    <w:rsid w:val="00B24783"/>
    <w:rsid w:val="00B24CED"/>
    <w:rsid w:val="00B25575"/>
    <w:rsid w:val="00B2562F"/>
    <w:rsid w:val="00B259A7"/>
    <w:rsid w:val="00B25D1D"/>
    <w:rsid w:val="00B26252"/>
    <w:rsid w:val="00B2666D"/>
    <w:rsid w:val="00B2695B"/>
    <w:rsid w:val="00B26AD6"/>
    <w:rsid w:val="00B275DB"/>
    <w:rsid w:val="00B27B13"/>
    <w:rsid w:val="00B27D25"/>
    <w:rsid w:val="00B27DAB"/>
    <w:rsid w:val="00B27DDF"/>
    <w:rsid w:val="00B3009C"/>
    <w:rsid w:val="00B301D4"/>
    <w:rsid w:val="00B30CE5"/>
    <w:rsid w:val="00B31800"/>
    <w:rsid w:val="00B31942"/>
    <w:rsid w:val="00B31CA3"/>
    <w:rsid w:val="00B32491"/>
    <w:rsid w:val="00B32496"/>
    <w:rsid w:val="00B32875"/>
    <w:rsid w:val="00B32BE4"/>
    <w:rsid w:val="00B32D63"/>
    <w:rsid w:val="00B3304B"/>
    <w:rsid w:val="00B330A7"/>
    <w:rsid w:val="00B33405"/>
    <w:rsid w:val="00B33408"/>
    <w:rsid w:val="00B33BE8"/>
    <w:rsid w:val="00B33C43"/>
    <w:rsid w:val="00B33D6C"/>
    <w:rsid w:val="00B33ECB"/>
    <w:rsid w:val="00B341B1"/>
    <w:rsid w:val="00B342C6"/>
    <w:rsid w:val="00B343E8"/>
    <w:rsid w:val="00B348C2"/>
    <w:rsid w:val="00B34E9E"/>
    <w:rsid w:val="00B34EDE"/>
    <w:rsid w:val="00B351B5"/>
    <w:rsid w:val="00B352C8"/>
    <w:rsid w:val="00B353CC"/>
    <w:rsid w:val="00B35BCA"/>
    <w:rsid w:val="00B364E7"/>
    <w:rsid w:val="00B367A6"/>
    <w:rsid w:val="00B36BBA"/>
    <w:rsid w:val="00B36E40"/>
    <w:rsid w:val="00B3721B"/>
    <w:rsid w:val="00B3791C"/>
    <w:rsid w:val="00B3799C"/>
    <w:rsid w:val="00B379BE"/>
    <w:rsid w:val="00B379E8"/>
    <w:rsid w:val="00B37AC9"/>
    <w:rsid w:val="00B40039"/>
    <w:rsid w:val="00B40449"/>
    <w:rsid w:val="00B40642"/>
    <w:rsid w:val="00B40BAC"/>
    <w:rsid w:val="00B40C3A"/>
    <w:rsid w:val="00B40C48"/>
    <w:rsid w:val="00B40D24"/>
    <w:rsid w:val="00B40EAB"/>
    <w:rsid w:val="00B40F27"/>
    <w:rsid w:val="00B410E7"/>
    <w:rsid w:val="00B41188"/>
    <w:rsid w:val="00B4133A"/>
    <w:rsid w:val="00B414C7"/>
    <w:rsid w:val="00B4157A"/>
    <w:rsid w:val="00B416B9"/>
    <w:rsid w:val="00B41AE6"/>
    <w:rsid w:val="00B41D67"/>
    <w:rsid w:val="00B41F88"/>
    <w:rsid w:val="00B4259B"/>
    <w:rsid w:val="00B427D3"/>
    <w:rsid w:val="00B42831"/>
    <w:rsid w:val="00B42A4F"/>
    <w:rsid w:val="00B42E66"/>
    <w:rsid w:val="00B43619"/>
    <w:rsid w:val="00B43988"/>
    <w:rsid w:val="00B43DCA"/>
    <w:rsid w:val="00B43F37"/>
    <w:rsid w:val="00B440D5"/>
    <w:rsid w:val="00B448A9"/>
    <w:rsid w:val="00B44E8B"/>
    <w:rsid w:val="00B44F90"/>
    <w:rsid w:val="00B45329"/>
    <w:rsid w:val="00B45B14"/>
    <w:rsid w:val="00B46468"/>
    <w:rsid w:val="00B465B5"/>
    <w:rsid w:val="00B46774"/>
    <w:rsid w:val="00B46AD4"/>
    <w:rsid w:val="00B46D91"/>
    <w:rsid w:val="00B4731D"/>
    <w:rsid w:val="00B4757E"/>
    <w:rsid w:val="00B4760A"/>
    <w:rsid w:val="00B47647"/>
    <w:rsid w:val="00B476EC"/>
    <w:rsid w:val="00B47972"/>
    <w:rsid w:val="00B47DF6"/>
    <w:rsid w:val="00B50053"/>
    <w:rsid w:val="00B5019D"/>
    <w:rsid w:val="00B502F3"/>
    <w:rsid w:val="00B505D7"/>
    <w:rsid w:val="00B50822"/>
    <w:rsid w:val="00B508C0"/>
    <w:rsid w:val="00B50B91"/>
    <w:rsid w:val="00B513C6"/>
    <w:rsid w:val="00B51D2D"/>
    <w:rsid w:val="00B51F17"/>
    <w:rsid w:val="00B51F27"/>
    <w:rsid w:val="00B525E5"/>
    <w:rsid w:val="00B52809"/>
    <w:rsid w:val="00B52A32"/>
    <w:rsid w:val="00B52CA2"/>
    <w:rsid w:val="00B52F83"/>
    <w:rsid w:val="00B5307D"/>
    <w:rsid w:val="00B532B3"/>
    <w:rsid w:val="00B534E3"/>
    <w:rsid w:val="00B5461D"/>
    <w:rsid w:val="00B54A9B"/>
    <w:rsid w:val="00B54E07"/>
    <w:rsid w:val="00B54E82"/>
    <w:rsid w:val="00B555DD"/>
    <w:rsid w:val="00B55A3D"/>
    <w:rsid w:val="00B55CC3"/>
    <w:rsid w:val="00B55D45"/>
    <w:rsid w:val="00B55F32"/>
    <w:rsid w:val="00B560B4"/>
    <w:rsid w:val="00B56170"/>
    <w:rsid w:val="00B561BB"/>
    <w:rsid w:val="00B56E34"/>
    <w:rsid w:val="00B56F35"/>
    <w:rsid w:val="00B571C6"/>
    <w:rsid w:val="00B57427"/>
    <w:rsid w:val="00B57447"/>
    <w:rsid w:val="00B57BC2"/>
    <w:rsid w:val="00B57D37"/>
    <w:rsid w:val="00B57D9D"/>
    <w:rsid w:val="00B57F66"/>
    <w:rsid w:val="00B600B4"/>
    <w:rsid w:val="00B602D1"/>
    <w:rsid w:val="00B604A1"/>
    <w:rsid w:val="00B6073B"/>
    <w:rsid w:val="00B609AA"/>
    <w:rsid w:val="00B60C86"/>
    <w:rsid w:val="00B61042"/>
    <w:rsid w:val="00B61315"/>
    <w:rsid w:val="00B61BE2"/>
    <w:rsid w:val="00B62123"/>
    <w:rsid w:val="00B623D2"/>
    <w:rsid w:val="00B625BD"/>
    <w:rsid w:val="00B62671"/>
    <w:rsid w:val="00B62B75"/>
    <w:rsid w:val="00B62C26"/>
    <w:rsid w:val="00B6330D"/>
    <w:rsid w:val="00B6331C"/>
    <w:rsid w:val="00B63440"/>
    <w:rsid w:val="00B6349E"/>
    <w:rsid w:val="00B63642"/>
    <w:rsid w:val="00B645EE"/>
    <w:rsid w:val="00B647E6"/>
    <w:rsid w:val="00B65272"/>
    <w:rsid w:val="00B65516"/>
    <w:rsid w:val="00B655C2"/>
    <w:rsid w:val="00B65CB8"/>
    <w:rsid w:val="00B65F15"/>
    <w:rsid w:val="00B65F60"/>
    <w:rsid w:val="00B667B0"/>
    <w:rsid w:val="00B66B60"/>
    <w:rsid w:val="00B66CCE"/>
    <w:rsid w:val="00B66E11"/>
    <w:rsid w:val="00B67516"/>
    <w:rsid w:val="00B67791"/>
    <w:rsid w:val="00B70476"/>
    <w:rsid w:val="00B70CFC"/>
    <w:rsid w:val="00B70E4B"/>
    <w:rsid w:val="00B70F2F"/>
    <w:rsid w:val="00B70F48"/>
    <w:rsid w:val="00B70F77"/>
    <w:rsid w:val="00B71161"/>
    <w:rsid w:val="00B71A4F"/>
    <w:rsid w:val="00B71D43"/>
    <w:rsid w:val="00B71FE9"/>
    <w:rsid w:val="00B723D1"/>
    <w:rsid w:val="00B72657"/>
    <w:rsid w:val="00B72FE4"/>
    <w:rsid w:val="00B737A2"/>
    <w:rsid w:val="00B73CA4"/>
    <w:rsid w:val="00B73EE9"/>
    <w:rsid w:val="00B74736"/>
    <w:rsid w:val="00B74ACB"/>
    <w:rsid w:val="00B74D78"/>
    <w:rsid w:val="00B74F9B"/>
    <w:rsid w:val="00B74FBE"/>
    <w:rsid w:val="00B75044"/>
    <w:rsid w:val="00B7520B"/>
    <w:rsid w:val="00B7574F"/>
    <w:rsid w:val="00B76555"/>
    <w:rsid w:val="00B76CF2"/>
    <w:rsid w:val="00B771A2"/>
    <w:rsid w:val="00B773BB"/>
    <w:rsid w:val="00B77824"/>
    <w:rsid w:val="00B77A43"/>
    <w:rsid w:val="00B77CE6"/>
    <w:rsid w:val="00B77D3E"/>
    <w:rsid w:val="00B80F14"/>
    <w:rsid w:val="00B81177"/>
    <w:rsid w:val="00B812B1"/>
    <w:rsid w:val="00B8175B"/>
    <w:rsid w:val="00B81F58"/>
    <w:rsid w:val="00B8227F"/>
    <w:rsid w:val="00B82344"/>
    <w:rsid w:val="00B82535"/>
    <w:rsid w:val="00B8270D"/>
    <w:rsid w:val="00B829FA"/>
    <w:rsid w:val="00B82AE2"/>
    <w:rsid w:val="00B82B1E"/>
    <w:rsid w:val="00B83303"/>
    <w:rsid w:val="00B83A78"/>
    <w:rsid w:val="00B83FFD"/>
    <w:rsid w:val="00B840AC"/>
    <w:rsid w:val="00B842DE"/>
    <w:rsid w:val="00B846AA"/>
    <w:rsid w:val="00B84B08"/>
    <w:rsid w:val="00B84E06"/>
    <w:rsid w:val="00B84F61"/>
    <w:rsid w:val="00B84F7D"/>
    <w:rsid w:val="00B85164"/>
    <w:rsid w:val="00B854FD"/>
    <w:rsid w:val="00B85A31"/>
    <w:rsid w:val="00B85CF7"/>
    <w:rsid w:val="00B86734"/>
    <w:rsid w:val="00B86CB2"/>
    <w:rsid w:val="00B8712B"/>
    <w:rsid w:val="00B875FB"/>
    <w:rsid w:val="00B87629"/>
    <w:rsid w:val="00B8792E"/>
    <w:rsid w:val="00B87957"/>
    <w:rsid w:val="00B87AE0"/>
    <w:rsid w:val="00B87E41"/>
    <w:rsid w:val="00B87EBE"/>
    <w:rsid w:val="00B901C8"/>
    <w:rsid w:val="00B906C8"/>
    <w:rsid w:val="00B90CEE"/>
    <w:rsid w:val="00B90FCA"/>
    <w:rsid w:val="00B90FE6"/>
    <w:rsid w:val="00B91156"/>
    <w:rsid w:val="00B912CF"/>
    <w:rsid w:val="00B91F57"/>
    <w:rsid w:val="00B922BF"/>
    <w:rsid w:val="00B9292E"/>
    <w:rsid w:val="00B92D0E"/>
    <w:rsid w:val="00B92FD3"/>
    <w:rsid w:val="00B9347B"/>
    <w:rsid w:val="00B93547"/>
    <w:rsid w:val="00B93952"/>
    <w:rsid w:val="00B93AA1"/>
    <w:rsid w:val="00B9417B"/>
    <w:rsid w:val="00B943BB"/>
    <w:rsid w:val="00B94BF6"/>
    <w:rsid w:val="00B951C7"/>
    <w:rsid w:val="00B95551"/>
    <w:rsid w:val="00B95666"/>
    <w:rsid w:val="00B95895"/>
    <w:rsid w:val="00B958BE"/>
    <w:rsid w:val="00B959BF"/>
    <w:rsid w:val="00B95A9B"/>
    <w:rsid w:val="00B95B1E"/>
    <w:rsid w:val="00B96025"/>
    <w:rsid w:val="00B9623B"/>
    <w:rsid w:val="00B96473"/>
    <w:rsid w:val="00B9647B"/>
    <w:rsid w:val="00B9695C"/>
    <w:rsid w:val="00B96A21"/>
    <w:rsid w:val="00B96E7B"/>
    <w:rsid w:val="00B97285"/>
    <w:rsid w:val="00B97425"/>
    <w:rsid w:val="00B977ED"/>
    <w:rsid w:val="00B97909"/>
    <w:rsid w:val="00B97986"/>
    <w:rsid w:val="00B97B52"/>
    <w:rsid w:val="00B97E7B"/>
    <w:rsid w:val="00B97F3E"/>
    <w:rsid w:val="00B97F6E"/>
    <w:rsid w:val="00BA00A2"/>
    <w:rsid w:val="00BA056C"/>
    <w:rsid w:val="00BA0578"/>
    <w:rsid w:val="00BA05B1"/>
    <w:rsid w:val="00BA0BFD"/>
    <w:rsid w:val="00BA147A"/>
    <w:rsid w:val="00BA1DD4"/>
    <w:rsid w:val="00BA20F9"/>
    <w:rsid w:val="00BA2377"/>
    <w:rsid w:val="00BA28C0"/>
    <w:rsid w:val="00BA293E"/>
    <w:rsid w:val="00BA2B4D"/>
    <w:rsid w:val="00BA3166"/>
    <w:rsid w:val="00BA3385"/>
    <w:rsid w:val="00BA35C4"/>
    <w:rsid w:val="00BA3F7D"/>
    <w:rsid w:val="00BA4140"/>
    <w:rsid w:val="00BA4C38"/>
    <w:rsid w:val="00BA4F49"/>
    <w:rsid w:val="00BA51B4"/>
    <w:rsid w:val="00BA5502"/>
    <w:rsid w:val="00BA55D3"/>
    <w:rsid w:val="00BA56E3"/>
    <w:rsid w:val="00BA58B2"/>
    <w:rsid w:val="00BA5AAF"/>
    <w:rsid w:val="00BA5C19"/>
    <w:rsid w:val="00BA651A"/>
    <w:rsid w:val="00BA659A"/>
    <w:rsid w:val="00BA7341"/>
    <w:rsid w:val="00BA7651"/>
    <w:rsid w:val="00BA7A87"/>
    <w:rsid w:val="00BA7B12"/>
    <w:rsid w:val="00BA7F89"/>
    <w:rsid w:val="00BB017A"/>
    <w:rsid w:val="00BB03EB"/>
    <w:rsid w:val="00BB07F6"/>
    <w:rsid w:val="00BB0B1A"/>
    <w:rsid w:val="00BB0D91"/>
    <w:rsid w:val="00BB0FBB"/>
    <w:rsid w:val="00BB12A6"/>
    <w:rsid w:val="00BB12AE"/>
    <w:rsid w:val="00BB1396"/>
    <w:rsid w:val="00BB15EF"/>
    <w:rsid w:val="00BB16B3"/>
    <w:rsid w:val="00BB1823"/>
    <w:rsid w:val="00BB1E87"/>
    <w:rsid w:val="00BB1FF4"/>
    <w:rsid w:val="00BB24D4"/>
    <w:rsid w:val="00BB2CE4"/>
    <w:rsid w:val="00BB31FF"/>
    <w:rsid w:val="00BB3520"/>
    <w:rsid w:val="00BB3C13"/>
    <w:rsid w:val="00BB3C89"/>
    <w:rsid w:val="00BB420C"/>
    <w:rsid w:val="00BB4293"/>
    <w:rsid w:val="00BB434F"/>
    <w:rsid w:val="00BB44DC"/>
    <w:rsid w:val="00BB4EB5"/>
    <w:rsid w:val="00BB51FC"/>
    <w:rsid w:val="00BB5251"/>
    <w:rsid w:val="00BB5722"/>
    <w:rsid w:val="00BB5D83"/>
    <w:rsid w:val="00BB5E26"/>
    <w:rsid w:val="00BB5FB0"/>
    <w:rsid w:val="00BB6785"/>
    <w:rsid w:val="00BB6902"/>
    <w:rsid w:val="00BB729E"/>
    <w:rsid w:val="00BB7315"/>
    <w:rsid w:val="00BB747F"/>
    <w:rsid w:val="00BB74A1"/>
    <w:rsid w:val="00BB74B9"/>
    <w:rsid w:val="00BB7A12"/>
    <w:rsid w:val="00BB7C28"/>
    <w:rsid w:val="00BB7CC7"/>
    <w:rsid w:val="00BB7EB0"/>
    <w:rsid w:val="00BC0332"/>
    <w:rsid w:val="00BC0751"/>
    <w:rsid w:val="00BC0983"/>
    <w:rsid w:val="00BC09D5"/>
    <w:rsid w:val="00BC0F73"/>
    <w:rsid w:val="00BC13D7"/>
    <w:rsid w:val="00BC19B4"/>
    <w:rsid w:val="00BC19DF"/>
    <w:rsid w:val="00BC1A63"/>
    <w:rsid w:val="00BC1B20"/>
    <w:rsid w:val="00BC1CCC"/>
    <w:rsid w:val="00BC1EA8"/>
    <w:rsid w:val="00BC2026"/>
    <w:rsid w:val="00BC2ADA"/>
    <w:rsid w:val="00BC2B14"/>
    <w:rsid w:val="00BC34BC"/>
    <w:rsid w:val="00BC3787"/>
    <w:rsid w:val="00BC3A28"/>
    <w:rsid w:val="00BC4130"/>
    <w:rsid w:val="00BC491F"/>
    <w:rsid w:val="00BC49DB"/>
    <w:rsid w:val="00BC4BDD"/>
    <w:rsid w:val="00BC4C3F"/>
    <w:rsid w:val="00BC4D51"/>
    <w:rsid w:val="00BC50DC"/>
    <w:rsid w:val="00BC533A"/>
    <w:rsid w:val="00BC5862"/>
    <w:rsid w:val="00BC5910"/>
    <w:rsid w:val="00BC5978"/>
    <w:rsid w:val="00BC5B02"/>
    <w:rsid w:val="00BC6123"/>
    <w:rsid w:val="00BC6CF5"/>
    <w:rsid w:val="00BC6FDE"/>
    <w:rsid w:val="00BC6FE0"/>
    <w:rsid w:val="00BC7423"/>
    <w:rsid w:val="00BC74B5"/>
    <w:rsid w:val="00BC7780"/>
    <w:rsid w:val="00BC79BF"/>
    <w:rsid w:val="00BC7B58"/>
    <w:rsid w:val="00BC7B96"/>
    <w:rsid w:val="00BC7D88"/>
    <w:rsid w:val="00BD07CD"/>
    <w:rsid w:val="00BD09B2"/>
    <w:rsid w:val="00BD0D34"/>
    <w:rsid w:val="00BD0D96"/>
    <w:rsid w:val="00BD121B"/>
    <w:rsid w:val="00BD1391"/>
    <w:rsid w:val="00BD25C2"/>
    <w:rsid w:val="00BD261F"/>
    <w:rsid w:val="00BD26EF"/>
    <w:rsid w:val="00BD271D"/>
    <w:rsid w:val="00BD2AF6"/>
    <w:rsid w:val="00BD31AA"/>
    <w:rsid w:val="00BD322E"/>
    <w:rsid w:val="00BD35A3"/>
    <w:rsid w:val="00BD35B0"/>
    <w:rsid w:val="00BD3611"/>
    <w:rsid w:val="00BD36F1"/>
    <w:rsid w:val="00BD3D48"/>
    <w:rsid w:val="00BD3DB9"/>
    <w:rsid w:val="00BD3ECF"/>
    <w:rsid w:val="00BD44EA"/>
    <w:rsid w:val="00BD47A9"/>
    <w:rsid w:val="00BD47DB"/>
    <w:rsid w:val="00BD49F6"/>
    <w:rsid w:val="00BD4B03"/>
    <w:rsid w:val="00BD511A"/>
    <w:rsid w:val="00BD570F"/>
    <w:rsid w:val="00BD5C11"/>
    <w:rsid w:val="00BD611E"/>
    <w:rsid w:val="00BD62BD"/>
    <w:rsid w:val="00BD6849"/>
    <w:rsid w:val="00BD6A4C"/>
    <w:rsid w:val="00BD6CB5"/>
    <w:rsid w:val="00BD730C"/>
    <w:rsid w:val="00BD7793"/>
    <w:rsid w:val="00BD7867"/>
    <w:rsid w:val="00BD7BF9"/>
    <w:rsid w:val="00BD7ED0"/>
    <w:rsid w:val="00BE0060"/>
    <w:rsid w:val="00BE030C"/>
    <w:rsid w:val="00BE031A"/>
    <w:rsid w:val="00BE05F5"/>
    <w:rsid w:val="00BE09C5"/>
    <w:rsid w:val="00BE09F7"/>
    <w:rsid w:val="00BE0E47"/>
    <w:rsid w:val="00BE1020"/>
    <w:rsid w:val="00BE176F"/>
    <w:rsid w:val="00BE18A2"/>
    <w:rsid w:val="00BE21C9"/>
    <w:rsid w:val="00BE2318"/>
    <w:rsid w:val="00BE24CD"/>
    <w:rsid w:val="00BE2FC8"/>
    <w:rsid w:val="00BE30D5"/>
    <w:rsid w:val="00BE329C"/>
    <w:rsid w:val="00BE37EE"/>
    <w:rsid w:val="00BE3CDF"/>
    <w:rsid w:val="00BE4077"/>
    <w:rsid w:val="00BE41D6"/>
    <w:rsid w:val="00BE4534"/>
    <w:rsid w:val="00BE465F"/>
    <w:rsid w:val="00BE46CD"/>
    <w:rsid w:val="00BE47D0"/>
    <w:rsid w:val="00BE54EC"/>
    <w:rsid w:val="00BE5A1F"/>
    <w:rsid w:val="00BE5D75"/>
    <w:rsid w:val="00BE5E04"/>
    <w:rsid w:val="00BE5F85"/>
    <w:rsid w:val="00BE6069"/>
    <w:rsid w:val="00BE6788"/>
    <w:rsid w:val="00BE6AD0"/>
    <w:rsid w:val="00BE70FE"/>
    <w:rsid w:val="00BE7339"/>
    <w:rsid w:val="00BE75B4"/>
    <w:rsid w:val="00BE75D7"/>
    <w:rsid w:val="00BE771E"/>
    <w:rsid w:val="00BE7905"/>
    <w:rsid w:val="00BE7991"/>
    <w:rsid w:val="00BF0B1C"/>
    <w:rsid w:val="00BF0B8B"/>
    <w:rsid w:val="00BF0DEC"/>
    <w:rsid w:val="00BF141E"/>
    <w:rsid w:val="00BF1471"/>
    <w:rsid w:val="00BF1F1D"/>
    <w:rsid w:val="00BF2439"/>
    <w:rsid w:val="00BF2A33"/>
    <w:rsid w:val="00BF2A36"/>
    <w:rsid w:val="00BF2A68"/>
    <w:rsid w:val="00BF2B55"/>
    <w:rsid w:val="00BF2BA7"/>
    <w:rsid w:val="00BF3106"/>
    <w:rsid w:val="00BF3680"/>
    <w:rsid w:val="00BF3A38"/>
    <w:rsid w:val="00BF3AE6"/>
    <w:rsid w:val="00BF3D9B"/>
    <w:rsid w:val="00BF3FC5"/>
    <w:rsid w:val="00BF41B7"/>
    <w:rsid w:val="00BF426D"/>
    <w:rsid w:val="00BF44D2"/>
    <w:rsid w:val="00BF46E5"/>
    <w:rsid w:val="00BF4A4E"/>
    <w:rsid w:val="00BF4D04"/>
    <w:rsid w:val="00BF53F7"/>
    <w:rsid w:val="00BF56D1"/>
    <w:rsid w:val="00BF587E"/>
    <w:rsid w:val="00BF59F5"/>
    <w:rsid w:val="00BF5BA6"/>
    <w:rsid w:val="00BF6225"/>
    <w:rsid w:val="00BF651A"/>
    <w:rsid w:val="00BF6601"/>
    <w:rsid w:val="00BF698D"/>
    <w:rsid w:val="00BF69D1"/>
    <w:rsid w:val="00BF6A67"/>
    <w:rsid w:val="00BF6B91"/>
    <w:rsid w:val="00BF6B95"/>
    <w:rsid w:val="00BF704A"/>
    <w:rsid w:val="00BF7676"/>
    <w:rsid w:val="00BF793A"/>
    <w:rsid w:val="00BF7A5A"/>
    <w:rsid w:val="00BF7F85"/>
    <w:rsid w:val="00BF7FBD"/>
    <w:rsid w:val="00C00858"/>
    <w:rsid w:val="00C00983"/>
    <w:rsid w:val="00C00AAC"/>
    <w:rsid w:val="00C00AF4"/>
    <w:rsid w:val="00C00FC6"/>
    <w:rsid w:val="00C011C8"/>
    <w:rsid w:val="00C0120B"/>
    <w:rsid w:val="00C0192D"/>
    <w:rsid w:val="00C02776"/>
    <w:rsid w:val="00C02A42"/>
    <w:rsid w:val="00C02B2A"/>
    <w:rsid w:val="00C03739"/>
    <w:rsid w:val="00C03963"/>
    <w:rsid w:val="00C0398C"/>
    <w:rsid w:val="00C03D4A"/>
    <w:rsid w:val="00C04342"/>
    <w:rsid w:val="00C045A4"/>
    <w:rsid w:val="00C04A32"/>
    <w:rsid w:val="00C04CC8"/>
    <w:rsid w:val="00C04FAF"/>
    <w:rsid w:val="00C04FC1"/>
    <w:rsid w:val="00C05138"/>
    <w:rsid w:val="00C05215"/>
    <w:rsid w:val="00C05AA1"/>
    <w:rsid w:val="00C0643B"/>
    <w:rsid w:val="00C068CB"/>
    <w:rsid w:val="00C06A6E"/>
    <w:rsid w:val="00C06BA0"/>
    <w:rsid w:val="00C071F7"/>
    <w:rsid w:val="00C0757A"/>
    <w:rsid w:val="00C1022F"/>
    <w:rsid w:val="00C10611"/>
    <w:rsid w:val="00C109E7"/>
    <w:rsid w:val="00C10AE5"/>
    <w:rsid w:val="00C10C3F"/>
    <w:rsid w:val="00C10F9A"/>
    <w:rsid w:val="00C11237"/>
    <w:rsid w:val="00C11423"/>
    <w:rsid w:val="00C11CF3"/>
    <w:rsid w:val="00C120C5"/>
    <w:rsid w:val="00C12AB3"/>
    <w:rsid w:val="00C12BFC"/>
    <w:rsid w:val="00C133F9"/>
    <w:rsid w:val="00C1356E"/>
    <w:rsid w:val="00C1367C"/>
    <w:rsid w:val="00C138C3"/>
    <w:rsid w:val="00C138FF"/>
    <w:rsid w:val="00C13B03"/>
    <w:rsid w:val="00C1421D"/>
    <w:rsid w:val="00C14466"/>
    <w:rsid w:val="00C144E4"/>
    <w:rsid w:val="00C14B84"/>
    <w:rsid w:val="00C14DB6"/>
    <w:rsid w:val="00C14FF7"/>
    <w:rsid w:val="00C15203"/>
    <w:rsid w:val="00C15A38"/>
    <w:rsid w:val="00C15ADB"/>
    <w:rsid w:val="00C1614B"/>
    <w:rsid w:val="00C163BE"/>
    <w:rsid w:val="00C168F7"/>
    <w:rsid w:val="00C16C5D"/>
    <w:rsid w:val="00C1744B"/>
    <w:rsid w:val="00C17AC7"/>
    <w:rsid w:val="00C17CD9"/>
    <w:rsid w:val="00C17D3A"/>
    <w:rsid w:val="00C206F7"/>
    <w:rsid w:val="00C208E5"/>
    <w:rsid w:val="00C21053"/>
    <w:rsid w:val="00C21518"/>
    <w:rsid w:val="00C216C9"/>
    <w:rsid w:val="00C21730"/>
    <w:rsid w:val="00C217D0"/>
    <w:rsid w:val="00C21826"/>
    <w:rsid w:val="00C21DA9"/>
    <w:rsid w:val="00C2284A"/>
    <w:rsid w:val="00C22F40"/>
    <w:rsid w:val="00C23127"/>
    <w:rsid w:val="00C234F0"/>
    <w:rsid w:val="00C23BF6"/>
    <w:rsid w:val="00C23D69"/>
    <w:rsid w:val="00C23E89"/>
    <w:rsid w:val="00C23ED3"/>
    <w:rsid w:val="00C24217"/>
    <w:rsid w:val="00C2460D"/>
    <w:rsid w:val="00C24646"/>
    <w:rsid w:val="00C24832"/>
    <w:rsid w:val="00C248E0"/>
    <w:rsid w:val="00C24A2D"/>
    <w:rsid w:val="00C2525C"/>
    <w:rsid w:val="00C25499"/>
    <w:rsid w:val="00C25782"/>
    <w:rsid w:val="00C2589E"/>
    <w:rsid w:val="00C2591F"/>
    <w:rsid w:val="00C25988"/>
    <w:rsid w:val="00C25DEC"/>
    <w:rsid w:val="00C25FBE"/>
    <w:rsid w:val="00C26455"/>
    <w:rsid w:val="00C26A0C"/>
    <w:rsid w:val="00C26CB0"/>
    <w:rsid w:val="00C277D0"/>
    <w:rsid w:val="00C3041E"/>
    <w:rsid w:val="00C30503"/>
    <w:rsid w:val="00C30887"/>
    <w:rsid w:val="00C30927"/>
    <w:rsid w:val="00C30A70"/>
    <w:rsid w:val="00C3133B"/>
    <w:rsid w:val="00C31A97"/>
    <w:rsid w:val="00C322E4"/>
    <w:rsid w:val="00C32628"/>
    <w:rsid w:val="00C32A97"/>
    <w:rsid w:val="00C32B76"/>
    <w:rsid w:val="00C32CE7"/>
    <w:rsid w:val="00C33854"/>
    <w:rsid w:val="00C33A0B"/>
    <w:rsid w:val="00C34176"/>
    <w:rsid w:val="00C34421"/>
    <w:rsid w:val="00C34EFA"/>
    <w:rsid w:val="00C3572F"/>
    <w:rsid w:val="00C3653B"/>
    <w:rsid w:val="00C36635"/>
    <w:rsid w:val="00C36777"/>
    <w:rsid w:val="00C367AF"/>
    <w:rsid w:val="00C3713E"/>
    <w:rsid w:val="00C3782C"/>
    <w:rsid w:val="00C378D3"/>
    <w:rsid w:val="00C37D05"/>
    <w:rsid w:val="00C37D69"/>
    <w:rsid w:val="00C37F76"/>
    <w:rsid w:val="00C40797"/>
    <w:rsid w:val="00C4125A"/>
    <w:rsid w:val="00C415B0"/>
    <w:rsid w:val="00C417D3"/>
    <w:rsid w:val="00C41873"/>
    <w:rsid w:val="00C4198F"/>
    <w:rsid w:val="00C425A0"/>
    <w:rsid w:val="00C42A13"/>
    <w:rsid w:val="00C42CB4"/>
    <w:rsid w:val="00C42FF1"/>
    <w:rsid w:val="00C4339E"/>
    <w:rsid w:val="00C43AD2"/>
    <w:rsid w:val="00C43E2D"/>
    <w:rsid w:val="00C43FD4"/>
    <w:rsid w:val="00C441E5"/>
    <w:rsid w:val="00C449D7"/>
    <w:rsid w:val="00C44F5A"/>
    <w:rsid w:val="00C45048"/>
    <w:rsid w:val="00C450BC"/>
    <w:rsid w:val="00C452A4"/>
    <w:rsid w:val="00C45E3E"/>
    <w:rsid w:val="00C46D31"/>
    <w:rsid w:val="00C46D8A"/>
    <w:rsid w:val="00C47437"/>
    <w:rsid w:val="00C47440"/>
    <w:rsid w:val="00C475FA"/>
    <w:rsid w:val="00C4764F"/>
    <w:rsid w:val="00C47C13"/>
    <w:rsid w:val="00C47EC4"/>
    <w:rsid w:val="00C503F6"/>
    <w:rsid w:val="00C50474"/>
    <w:rsid w:val="00C50F6C"/>
    <w:rsid w:val="00C5142A"/>
    <w:rsid w:val="00C51990"/>
    <w:rsid w:val="00C51A5F"/>
    <w:rsid w:val="00C52038"/>
    <w:rsid w:val="00C52567"/>
    <w:rsid w:val="00C5274B"/>
    <w:rsid w:val="00C52C23"/>
    <w:rsid w:val="00C52FA6"/>
    <w:rsid w:val="00C52FD2"/>
    <w:rsid w:val="00C534D6"/>
    <w:rsid w:val="00C53979"/>
    <w:rsid w:val="00C539C0"/>
    <w:rsid w:val="00C53A1A"/>
    <w:rsid w:val="00C5472F"/>
    <w:rsid w:val="00C548E4"/>
    <w:rsid w:val="00C54A62"/>
    <w:rsid w:val="00C54F5A"/>
    <w:rsid w:val="00C5526F"/>
    <w:rsid w:val="00C55C51"/>
    <w:rsid w:val="00C55D31"/>
    <w:rsid w:val="00C55E54"/>
    <w:rsid w:val="00C55E83"/>
    <w:rsid w:val="00C55EF3"/>
    <w:rsid w:val="00C56386"/>
    <w:rsid w:val="00C563FA"/>
    <w:rsid w:val="00C56F06"/>
    <w:rsid w:val="00C575AA"/>
    <w:rsid w:val="00C575EA"/>
    <w:rsid w:val="00C57A51"/>
    <w:rsid w:val="00C57DEA"/>
    <w:rsid w:val="00C60051"/>
    <w:rsid w:val="00C603E5"/>
    <w:rsid w:val="00C6062A"/>
    <w:rsid w:val="00C6079B"/>
    <w:rsid w:val="00C607E4"/>
    <w:rsid w:val="00C60956"/>
    <w:rsid w:val="00C60CA5"/>
    <w:rsid w:val="00C61215"/>
    <w:rsid w:val="00C61D12"/>
    <w:rsid w:val="00C621E8"/>
    <w:rsid w:val="00C62590"/>
    <w:rsid w:val="00C6291E"/>
    <w:rsid w:val="00C62A34"/>
    <w:rsid w:val="00C63000"/>
    <w:rsid w:val="00C63C64"/>
    <w:rsid w:val="00C64924"/>
    <w:rsid w:val="00C64A0C"/>
    <w:rsid w:val="00C64B71"/>
    <w:rsid w:val="00C64E27"/>
    <w:rsid w:val="00C64E8A"/>
    <w:rsid w:val="00C64FCC"/>
    <w:rsid w:val="00C651E3"/>
    <w:rsid w:val="00C654F5"/>
    <w:rsid w:val="00C6551F"/>
    <w:rsid w:val="00C65A4A"/>
    <w:rsid w:val="00C65E9A"/>
    <w:rsid w:val="00C662C2"/>
    <w:rsid w:val="00C67174"/>
    <w:rsid w:val="00C6742E"/>
    <w:rsid w:val="00C67720"/>
    <w:rsid w:val="00C67B8F"/>
    <w:rsid w:val="00C67D6F"/>
    <w:rsid w:val="00C67E80"/>
    <w:rsid w:val="00C67EF2"/>
    <w:rsid w:val="00C70052"/>
    <w:rsid w:val="00C70571"/>
    <w:rsid w:val="00C70858"/>
    <w:rsid w:val="00C7096B"/>
    <w:rsid w:val="00C70A15"/>
    <w:rsid w:val="00C71096"/>
    <w:rsid w:val="00C71748"/>
    <w:rsid w:val="00C717FE"/>
    <w:rsid w:val="00C719EE"/>
    <w:rsid w:val="00C7220D"/>
    <w:rsid w:val="00C72421"/>
    <w:rsid w:val="00C724BE"/>
    <w:rsid w:val="00C72831"/>
    <w:rsid w:val="00C7298C"/>
    <w:rsid w:val="00C72B20"/>
    <w:rsid w:val="00C72C4C"/>
    <w:rsid w:val="00C72F2E"/>
    <w:rsid w:val="00C73796"/>
    <w:rsid w:val="00C73C53"/>
    <w:rsid w:val="00C74291"/>
    <w:rsid w:val="00C747D2"/>
    <w:rsid w:val="00C749A7"/>
    <w:rsid w:val="00C74A9D"/>
    <w:rsid w:val="00C74B05"/>
    <w:rsid w:val="00C74CDC"/>
    <w:rsid w:val="00C75294"/>
    <w:rsid w:val="00C7563D"/>
    <w:rsid w:val="00C75E61"/>
    <w:rsid w:val="00C7600D"/>
    <w:rsid w:val="00C762BE"/>
    <w:rsid w:val="00C76549"/>
    <w:rsid w:val="00C7690F"/>
    <w:rsid w:val="00C76926"/>
    <w:rsid w:val="00C76EF0"/>
    <w:rsid w:val="00C76EF5"/>
    <w:rsid w:val="00C77077"/>
    <w:rsid w:val="00C77B44"/>
    <w:rsid w:val="00C77CD9"/>
    <w:rsid w:val="00C77D65"/>
    <w:rsid w:val="00C80424"/>
    <w:rsid w:val="00C8042F"/>
    <w:rsid w:val="00C80CE0"/>
    <w:rsid w:val="00C80E64"/>
    <w:rsid w:val="00C81179"/>
    <w:rsid w:val="00C81943"/>
    <w:rsid w:val="00C81D28"/>
    <w:rsid w:val="00C81FC2"/>
    <w:rsid w:val="00C82178"/>
    <w:rsid w:val="00C82246"/>
    <w:rsid w:val="00C82987"/>
    <w:rsid w:val="00C82F0C"/>
    <w:rsid w:val="00C83B8A"/>
    <w:rsid w:val="00C83F3A"/>
    <w:rsid w:val="00C840AA"/>
    <w:rsid w:val="00C8453E"/>
    <w:rsid w:val="00C84588"/>
    <w:rsid w:val="00C84780"/>
    <w:rsid w:val="00C84B7D"/>
    <w:rsid w:val="00C84C02"/>
    <w:rsid w:val="00C84E07"/>
    <w:rsid w:val="00C85146"/>
    <w:rsid w:val="00C854FC"/>
    <w:rsid w:val="00C856BF"/>
    <w:rsid w:val="00C85836"/>
    <w:rsid w:val="00C85FFA"/>
    <w:rsid w:val="00C8624F"/>
    <w:rsid w:val="00C863D3"/>
    <w:rsid w:val="00C866D3"/>
    <w:rsid w:val="00C86765"/>
    <w:rsid w:val="00C86799"/>
    <w:rsid w:val="00C868DA"/>
    <w:rsid w:val="00C86BF5"/>
    <w:rsid w:val="00C86CD4"/>
    <w:rsid w:val="00C86D11"/>
    <w:rsid w:val="00C8768A"/>
    <w:rsid w:val="00C87716"/>
    <w:rsid w:val="00C87737"/>
    <w:rsid w:val="00C87980"/>
    <w:rsid w:val="00C9025D"/>
    <w:rsid w:val="00C906CD"/>
    <w:rsid w:val="00C90982"/>
    <w:rsid w:val="00C90B35"/>
    <w:rsid w:val="00C90CDE"/>
    <w:rsid w:val="00C914CF"/>
    <w:rsid w:val="00C919F2"/>
    <w:rsid w:val="00C91B2D"/>
    <w:rsid w:val="00C91FB2"/>
    <w:rsid w:val="00C922BC"/>
    <w:rsid w:val="00C92771"/>
    <w:rsid w:val="00C9278C"/>
    <w:rsid w:val="00C92A16"/>
    <w:rsid w:val="00C92A44"/>
    <w:rsid w:val="00C92E0F"/>
    <w:rsid w:val="00C92F6F"/>
    <w:rsid w:val="00C9307C"/>
    <w:rsid w:val="00C934E7"/>
    <w:rsid w:val="00C938D6"/>
    <w:rsid w:val="00C93954"/>
    <w:rsid w:val="00C93F1E"/>
    <w:rsid w:val="00C94307"/>
    <w:rsid w:val="00C94ABC"/>
    <w:rsid w:val="00C94AD1"/>
    <w:rsid w:val="00C95272"/>
    <w:rsid w:val="00C95409"/>
    <w:rsid w:val="00C959B3"/>
    <w:rsid w:val="00C95A23"/>
    <w:rsid w:val="00C95DDD"/>
    <w:rsid w:val="00C96329"/>
    <w:rsid w:val="00C96584"/>
    <w:rsid w:val="00C96688"/>
    <w:rsid w:val="00C96830"/>
    <w:rsid w:val="00C96D72"/>
    <w:rsid w:val="00C971B2"/>
    <w:rsid w:val="00C97389"/>
    <w:rsid w:val="00C97565"/>
    <w:rsid w:val="00C9762F"/>
    <w:rsid w:val="00C97BC9"/>
    <w:rsid w:val="00C97CFB"/>
    <w:rsid w:val="00C97D3F"/>
    <w:rsid w:val="00C97DFF"/>
    <w:rsid w:val="00CA0213"/>
    <w:rsid w:val="00CA14AA"/>
    <w:rsid w:val="00CA179E"/>
    <w:rsid w:val="00CA1DAB"/>
    <w:rsid w:val="00CA1EE2"/>
    <w:rsid w:val="00CA20D3"/>
    <w:rsid w:val="00CA2C64"/>
    <w:rsid w:val="00CA2C8E"/>
    <w:rsid w:val="00CA328E"/>
    <w:rsid w:val="00CA3787"/>
    <w:rsid w:val="00CA3A79"/>
    <w:rsid w:val="00CA3BEC"/>
    <w:rsid w:val="00CA47D9"/>
    <w:rsid w:val="00CA48A4"/>
    <w:rsid w:val="00CA4990"/>
    <w:rsid w:val="00CA4C91"/>
    <w:rsid w:val="00CA4FF7"/>
    <w:rsid w:val="00CA539D"/>
    <w:rsid w:val="00CA546F"/>
    <w:rsid w:val="00CA54EB"/>
    <w:rsid w:val="00CA6178"/>
    <w:rsid w:val="00CA620C"/>
    <w:rsid w:val="00CA697B"/>
    <w:rsid w:val="00CA6A49"/>
    <w:rsid w:val="00CA6C41"/>
    <w:rsid w:val="00CA710B"/>
    <w:rsid w:val="00CA738F"/>
    <w:rsid w:val="00CA7878"/>
    <w:rsid w:val="00CB028C"/>
    <w:rsid w:val="00CB063F"/>
    <w:rsid w:val="00CB0969"/>
    <w:rsid w:val="00CB0B23"/>
    <w:rsid w:val="00CB0E54"/>
    <w:rsid w:val="00CB10E7"/>
    <w:rsid w:val="00CB13F9"/>
    <w:rsid w:val="00CB167F"/>
    <w:rsid w:val="00CB1F64"/>
    <w:rsid w:val="00CB2579"/>
    <w:rsid w:val="00CB2776"/>
    <w:rsid w:val="00CB293F"/>
    <w:rsid w:val="00CB2A7D"/>
    <w:rsid w:val="00CB2C74"/>
    <w:rsid w:val="00CB2CFC"/>
    <w:rsid w:val="00CB322E"/>
    <w:rsid w:val="00CB3396"/>
    <w:rsid w:val="00CB3D87"/>
    <w:rsid w:val="00CB3E9A"/>
    <w:rsid w:val="00CB4368"/>
    <w:rsid w:val="00CB4616"/>
    <w:rsid w:val="00CB4C75"/>
    <w:rsid w:val="00CB501B"/>
    <w:rsid w:val="00CB52D0"/>
    <w:rsid w:val="00CB544C"/>
    <w:rsid w:val="00CB5510"/>
    <w:rsid w:val="00CB553F"/>
    <w:rsid w:val="00CB60AE"/>
    <w:rsid w:val="00CB6126"/>
    <w:rsid w:val="00CB621E"/>
    <w:rsid w:val="00CB6A53"/>
    <w:rsid w:val="00CB73B6"/>
    <w:rsid w:val="00CB7A18"/>
    <w:rsid w:val="00CB7F3B"/>
    <w:rsid w:val="00CC0170"/>
    <w:rsid w:val="00CC07BF"/>
    <w:rsid w:val="00CC0954"/>
    <w:rsid w:val="00CC0CFD"/>
    <w:rsid w:val="00CC158E"/>
    <w:rsid w:val="00CC16BF"/>
    <w:rsid w:val="00CC18B7"/>
    <w:rsid w:val="00CC1A0E"/>
    <w:rsid w:val="00CC1B52"/>
    <w:rsid w:val="00CC22A1"/>
    <w:rsid w:val="00CC25F4"/>
    <w:rsid w:val="00CC2957"/>
    <w:rsid w:val="00CC2ACD"/>
    <w:rsid w:val="00CC37CF"/>
    <w:rsid w:val="00CC3C25"/>
    <w:rsid w:val="00CC3E07"/>
    <w:rsid w:val="00CC3E48"/>
    <w:rsid w:val="00CC41B9"/>
    <w:rsid w:val="00CC473C"/>
    <w:rsid w:val="00CC493C"/>
    <w:rsid w:val="00CC5004"/>
    <w:rsid w:val="00CC52B9"/>
    <w:rsid w:val="00CC5354"/>
    <w:rsid w:val="00CC538E"/>
    <w:rsid w:val="00CC644D"/>
    <w:rsid w:val="00CC6D1A"/>
    <w:rsid w:val="00CC7439"/>
    <w:rsid w:val="00CC767B"/>
    <w:rsid w:val="00CC78AB"/>
    <w:rsid w:val="00CC7F29"/>
    <w:rsid w:val="00CD002B"/>
    <w:rsid w:val="00CD02CF"/>
    <w:rsid w:val="00CD11EA"/>
    <w:rsid w:val="00CD1466"/>
    <w:rsid w:val="00CD1668"/>
    <w:rsid w:val="00CD16B0"/>
    <w:rsid w:val="00CD1F18"/>
    <w:rsid w:val="00CD1F95"/>
    <w:rsid w:val="00CD2007"/>
    <w:rsid w:val="00CD203C"/>
    <w:rsid w:val="00CD34BD"/>
    <w:rsid w:val="00CD356C"/>
    <w:rsid w:val="00CD4082"/>
    <w:rsid w:val="00CD4493"/>
    <w:rsid w:val="00CD4F4B"/>
    <w:rsid w:val="00CD523D"/>
    <w:rsid w:val="00CD54AD"/>
    <w:rsid w:val="00CD5682"/>
    <w:rsid w:val="00CD616E"/>
    <w:rsid w:val="00CD67BA"/>
    <w:rsid w:val="00CD6FDE"/>
    <w:rsid w:val="00CD7312"/>
    <w:rsid w:val="00CD76E9"/>
    <w:rsid w:val="00CD7AEC"/>
    <w:rsid w:val="00CD7BFA"/>
    <w:rsid w:val="00CE00B9"/>
    <w:rsid w:val="00CE0437"/>
    <w:rsid w:val="00CE08F8"/>
    <w:rsid w:val="00CE0AEC"/>
    <w:rsid w:val="00CE0F84"/>
    <w:rsid w:val="00CE17A9"/>
    <w:rsid w:val="00CE18F2"/>
    <w:rsid w:val="00CE1E64"/>
    <w:rsid w:val="00CE2E8F"/>
    <w:rsid w:val="00CE31BA"/>
    <w:rsid w:val="00CE3470"/>
    <w:rsid w:val="00CE38A8"/>
    <w:rsid w:val="00CE3D0D"/>
    <w:rsid w:val="00CE3DFF"/>
    <w:rsid w:val="00CE3FB5"/>
    <w:rsid w:val="00CE44D1"/>
    <w:rsid w:val="00CE452C"/>
    <w:rsid w:val="00CE4D99"/>
    <w:rsid w:val="00CE4F00"/>
    <w:rsid w:val="00CE50CE"/>
    <w:rsid w:val="00CE57A0"/>
    <w:rsid w:val="00CE5919"/>
    <w:rsid w:val="00CE59D6"/>
    <w:rsid w:val="00CE6082"/>
    <w:rsid w:val="00CE64A9"/>
    <w:rsid w:val="00CE6580"/>
    <w:rsid w:val="00CE682C"/>
    <w:rsid w:val="00CE68B0"/>
    <w:rsid w:val="00CE693C"/>
    <w:rsid w:val="00CE6B84"/>
    <w:rsid w:val="00CE6D5D"/>
    <w:rsid w:val="00CE6E0B"/>
    <w:rsid w:val="00CE70AC"/>
    <w:rsid w:val="00CE7603"/>
    <w:rsid w:val="00CE7DAD"/>
    <w:rsid w:val="00CE7EFD"/>
    <w:rsid w:val="00CE7F9D"/>
    <w:rsid w:val="00CF006C"/>
    <w:rsid w:val="00CF03DE"/>
    <w:rsid w:val="00CF03EC"/>
    <w:rsid w:val="00CF39D9"/>
    <w:rsid w:val="00CF3ACE"/>
    <w:rsid w:val="00CF3BAF"/>
    <w:rsid w:val="00CF40C3"/>
    <w:rsid w:val="00CF42C8"/>
    <w:rsid w:val="00CF43F4"/>
    <w:rsid w:val="00CF4718"/>
    <w:rsid w:val="00CF47ED"/>
    <w:rsid w:val="00CF4847"/>
    <w:rsid w:val="00CF4AB2"/>
    <w:rsid w:val="00CF5201"/>
    <w:rsid w:val="00CF52E4"/>
    <w:rsid w:val="00CF5314"/>
    <w:rsid w:val="00CF5520"/>
    <w:rsid w:val="00CF5557"/>
    <w:rsid w:val="00CF5D69"/>
    <w:rsid w:val="00CF5FF7"/>
    <w:rsid w:val="00CF683A"/>
    <w:rsid w:val="00CF6C5F"/>
    <w:rsid w:val="00CF7202"/>
    <w:rsid w:val="00CF7538"/>
    <w:rsid w:val="00CF790B"/>
    <w:rsid w:val="00CF7ADB"/>
    <w:rsid w:val="00D005B1"/>
    <w:rsid w:val="00D0172A"/>
    <w:rsid w:val="00D01F09"/>
    <w:rsid w:val="00D01F81"/>
    <w:rsid w:val="00D02059"/>
    <w:rsid w:val="00D0220B"/>
    <w:rsid w:val="00D02328"/>
    <w:rsid w:val="00D028EE"/>
    <w:rsid w:val="00D0312C"/>
    <w:rsid w:val="00D04195"/>
    <w:rsid w:val="00D041AB"/>
    <w:rsid w:val="00D04A7A"/>
    <w:rsid w:val="00D05C2B"/>
    <w:rsid w:val="00D05E0E"/>
    <w:rsid w:val="00D05F01"/>
    <w:rsid w:val="00D06023"/>
    <w:rsid w:val="00D06043"/>
    <w:rsid w:val="00D064DC"/>
    <w:rsid w:val="00D068CA"/>
    <w:rsid w:val="00D06B15"/>
    <w:rsid w:val="00D06BE1"/>
    <w:rsid w:val="00D0707E"/>
    <w:rsid w:val="00D07B93"/>
    <w:rsid w:val="00D07BA3"/>
    <w:rsid w:val="00D1040E"/>
    <w:rsid w:val="00D1091C"/>
    <w:rsid w:val="00D10B00"/>
    <w:rsid w:val="00D11244"/>
    <w:rsid w:val="00D112B6"/>
    <w:rsid w:val="00D118CF"/>
    <w:rsid w:val="00D11A04"/>
    <w:rsid w:val="00D12199"/>
    <w:rsid w:val="00D125AE"/>
    <w:rsid w:val="00D125B4"/>
    <w:rsid w:val="00D13175"/>
    <w:rsid w:val="00D13C62"/>
    <w:rsid w:val="00D14536"/>
    <w:rsid w:val="00D14DBD"/>
    <w:rsid w:val="00D15103"/>
    <w:rsid w:val="00D15297"/>
    <w:rsid w:val="00D15A1E"/>
    <w:rsid w:val="00D16A3A"/>
    <w:rsid w:val="00D16A86"/>
    <w:rsid w:val="00D16F47"/>
    <w:rsid w:val="00D17350"/>
    <w:rsid w:val="00D17C86"/>
    <w:rsid w:val="00D17CE4"/>
    <w:rsid w:val="00D17E93"/>
    <w:rsid w:val="00D200B0"/>
    <w:rsid w:val="00D2016B"/>
    <w:rsid w:val="00D20241"/>
    <w:rsid w:val="00D20574"/>
    <w:rsid w:val="00D20A45"/>
    <w:rsid w:val="00D20C0F"/>
    <w:rsid w:val="00D21131"/>
    <w:rsid w:val="00D21249"/>
    <w:rsid w:val="00D21252"/>
    <w:rsid w:val="00D214BE"/>
    <w:rsid w:val="00D21BE7"/>
    <w:rsid w:val="00D2230D"/>
    <w:rsid w:val="00D22351"/>
    <w:rsid w:val="00D223DA"/>
    <w:rsid w:val="00D22682"/>
    <w:rsid w:val="00D230E6"/>
    <w:rsid w:val="00D23648"/>
    <w:rsid w:val="00D23766"/>
    <w:rsid w:val="00D237AF"/>
    <w:rsid w:val="00D237CA"/>
    <w:rsid w:val="00D23D9F"/>
    <w:rsid w:val="00D23E66"/>
    <w:rsid w:val="00D23FF1"/>
    <w:rsid w:val="00D2423D"/>
    <w:rsid w:val="00D246A6"/>
    <w:rsid w:val="00D24ED8"/>
    <w:rsid w:val="00D252F2"/>
    <w:rsid w:val="00D255E2"/>
    <w:rsid w:val="00D260FD"/>
    <w:rsid w:val="00D262F3"/>
    <w:rsid w:val="00D26317"/>
    <w:rsid w:val="00D266EC"/>
    <w:rsid w:val="00D26852"/>
    <w:rsid w:val="00D26D81"/>
    <w:rsid w:val="00D2701A"/>
    <w:rsid w:val="00D2706A"/>
    <w:rsid w:val="00D27335"/>
    <w:rsid w:val="00D2747D"/>
    <w:rsid w:val="00D274C6"/>
    <w:rsid w:val="00D306A1"/>
    <w:rsid w:val="00D3080B"/>
    <w:rsid w:val="00D30CFA"/>
    <w:rsid w:val="00D30D21"/>
    <w:rsid w:val="00D30D2C"/>
    <w:rsid w:val="00D310DF"/>
    <w:rsid w:val="00D31EC0"/>
    <w:rsid w:val="00D32101"/>
    <w:rsid w:val="00D321B4"/>
    <w:rsid w:val="00D32B27"/>
    <w:rsid w:val="00D32F5A"/>
    <w:rsid w:val="00D3319E"/>
    <w:rsid w:val="00D33410"/>
    <w:rsid w:val="00D33717"/>
    <w:rsid w:val="00D33CF5"/>
    <w:rsid w:val="00D340D7"/>
    <w:rsid w:val="00D341A0"/>
    <w:rsid w:val="00D34AA9"/>
    <w:rsid w:val="00D35E18"/>
    <w:rsid w:val="00D36373"/>
    <w:rsid w:val="00D36518"/>
    <w:rsid w:val="00D36C7A"/>
    <w:rsid w:val="00D36CB3"/>
    <w:rsid w:val="00D36D8A"/>
    <w:rsid w:val="00D37201"/>
    <w:rsid w:val="00D37621"/>
    <w:rsid w:val="00D37936"/>
    <w:rsid w:val="00D37CE9"/>
    <w:rsid w:val="00D37EE0"/>
    <w:rsid w:val="00D37FAE"/>
    <w:rsid w:val="00D40324"/>
    <w:rsid w:val="00D41350"/>
    <w:rsid w:val="00D41536"/>
    <w:rsid w:val="00D4160C"/>
    <w:rsid w:val="00D42110"/>
    <w:rsid w:val="00D42767"/>
    <w:rsid w:val="00D429C1"/>
    <w:rsid w:val="00D4342E"/>
    <w:rsid w:val="00D43598"/>
    <w:rsid w:val="00D436B6"/>
    <w:rsid w:val="00D4417A"/>
    <w:rsid w:val="00D444F4"/>
    <w:rsid w:val="00D44918"/>
    <w:rsid w:val="00D44C8D"/>
    <w:rsid w:val="00D44F6F"/>
    <w:rsid w:val="00D4521B"/>
    <w:rsid w:val="00D45323"/>
    <w:rsid w:val="00D45889"/>
    <w:rsid w:val="00D45ADB"/>
    <w:rsid w:val="00D4604A"/>
    <w:rsid w:val="00D466F7"/>
    <w:rsid w:val="00D467F2"/>
    <w:rsid w:val="00D46992"/>
    <w:rsid w:val="00D46EEE"/>
    <w:rsid w:val="00D46F4C"/>
    <w:rsid w:val="00D47233"/>
    <w:rsid w:val="00D4739B"/>
    <w:rsid w:val="00D47473"/>
    <w:rsid w:val="00D47C7E"/>
    <w:rsid w:val="00D5005B"/>
    <w:rsid w:val="00D505B0"/>
    <w:rsid w:val="00D51011"/>
    <w:rsid w:val="00D51601"/>
    <w:rsid w:val="00D51A66"/>
    <w:rsid w:val="00D52012"/>
    <w:rsid w:val="00D5231C"/>
    <w:rsid w:val="00D52400"/>
    <w:rsid w:val="00D528CE"/>
    <w:rsid w:val="00D528E0"/>
    <w:rsid w:val="00D52B2D"/>
    <w:rsid w:val="00D52C7E"/>
    <w:rsid w:val="00D53185"/>
    <w:rsid w:val="00D53657"/>
    <w:rsid w:val="00D5374A"/>
    <w:rsid w:val="00D5384C"/>
    <w:rsid w:val="00D53FE1"/>
    <w:rsid w:val="00D54066"/>
    <w:rsid w:val="00D5443B"/>
    <w:rsid w:val="00D548AC"/>
    <w:rsid w:val="00D5491A"/>
    <w:rsid w:val="00D555DD"/>
    <w:rsid w:val="00D55917"/>
    <w:rsid w:val="00D55B46"/>
    <w:rsid w:val="00D55B6E"/>
    <w:rsid w:val="00D56241"/>
    <w:rsid w:val="00D56480"/>
    <w:rsid w:val="00D56915"/>
    <w:rsid w:val="00D572E9"/>
    <w:rsid w:val="00D57490"/>
    <w:rsid w:val="00D57818"/>
    <w:rsid w:val="00D57820"/>
    <w:rsid w:val="00D57BD9"/>
    <w:rsid w:val="00D60496"/>
    <w:rsid w:val="00D60537"/>
    <w:rsid w:val="00D60575"/>
    <w:rsid w:val="00D6087A"/>
    <w:rsid w:val="00D609D3"/>
    <w:rsid w:val="00D611F9"/>
    <w:rsid w:val="00D614A0"/>
    <w:rsid w:val="00D61682"/>
    <w:rsid w:val="00D618E1"/>
    <w:rsid w:val="00D61DAA"/>
    <w:rsid w:val="00D62398"/>
    <w:rsid w:val="00D625F6"/>
    <w:rsid w:val="00D62753"/>
    <w:rsid w:val="00D62A8A"/>
    <w:rsid w:val="00D62C20"/>
    <w:rsid w:val="00D63048"/>
    <w:rsid w:val="00D63302"/>
    <w:rsid w:val="00D63C19"/>
    <w:rsid w:val="00D641B3"/>
    <w:rsid w:val="00D643CD"/>
    <w:rsid w:val="00D64A1C"/>
    <w:rsid w:val="00D651AB"/>
    <w:rsid w:val="00D652B3"/>
    <w:rsid w:val="00D65462"/>
    <w:rsid w:val="00D658D7"/>
    <w:rsid w:val="00D65CAA"/>
    <w:rsid w:val="00D65E23"/>
    <w:rsid w:val="00D6617A"/>
    <w:rsid w:val="00D665CF"/>
    <w:rsid w:val="00D66752"/>
    <w:rsid w:val="00D66D3F"/>
    <w:rsid w:val="00D66DF3"/>
    <w:rsid w:val="00D66E25"/>
    <w:rsid w:val="00D671C8"/>
    <w:rsid w:val="00D676C3"/>
    <w:rsid w:val="00D676E8"/>
    <w:rsid w:val="00D706C8"/>
    <w:rsid w:val="00D70789"/>
    <w:rsid w:val="00D70C84"/>
    <w:rsid w:val="00D70F00"/>
    <w:rsid w:val="00D71255"/>
    <w:rsid w:val="00D71C96"/>
    <w:rsid w:val="00D72745"/>
    <w:rsid w:val="00D72F45"/>
    <w:rsid w:val="00D73379"/>
    <w:rsid w:val="00D73387"/>
    <w:rsid w:val="00D73983"/>
    <w:rsid w:val="00D73D1A"/>
    <w:rsid w:val="00D73E55"/>
    <w:rsid w:val="00D7416E"/>
    <w:rsid w:val="00D748C4"/>
    <w:rsid w:val="00D74908"/>
    <w:rsid w:val="00D74F38"/>
    <w:rsid w:val="00D750BF"/>
    <w:rsid w:val="00D753CF"/>
    <w:rsid w:val="00D75804"/>
    <w:rsid w:val="00D75835"/>
    <w:rsid w:val="00D75A1B"/>
    <w:rsid w:val="00D75B71"/>
    <w:rsid w:val="00D7608B"/>
    <w:rsid w:val="00D764DF"/>
    <w:rsid w:val="00D7666E"/>
    <w:rsid w:val="00D76AF1"/>
    <w:rsid w:val="00D77608"/>
    <w:rsid w:val="00D7770A"/>
    <w:rsid w:val="00D77D3B"/>
    <w:rsid w:val="00D801CE"/>
    <w:rsid w:val="00D80219"/>
    <w:rsid w:val="00D804A7"/>
    <w:rsid w:val="00D80578"/>
    <w:rsid w:val="00D807E4"/>
    <w:rsid w:val="00D80A3A"/>
    <w:rsid w:val="00D80ADB"/>
    <w:rsid w:val="00D80BC7"/>
    <w:rsid w:val="00D8118D"/>
    <w:rsid w:val="00D817A2"/>
    <w:rsid w:val="00D81850"/>
    <w:rsid w:val="00D81C39"/>
    <w:rsid w:val="00D81C6E"/>
    <w:rsid w:val="00D821D9"/>
    <w:rsid w:val="00D82493"/>
    <w:rsid w:val="00D829CA"/>
    <w:rsid w:val="00D830BE"/>
    <w:rsid w:val="00D83454"/>
    <w:rsid w:val="00D8352C"/>
    <w:rsid w:val="00D839A5"/>
    <w:rsid w:val="00D83A55"/>
    <w:rsid w:val="00D83B4A"/>
    <w:rsid w:val="00D84071"/>
    <w:rsid w:val="00D8497F"/>
    <w:rsid w:val="00D84F3A"/>
    <w:rsid w:val="00D8530F"/>
    <w:rsid w:val="00D854B5"/>
    <w:rsid w:val="00D8559D"/>
    <w:rsid w:val="00D857E2"/>
    <w:rsid w:val="00D85A53"/>
    <w:rsid w:val="00D85B60"/>
    <w:rsid w:val="00D85D8D"/>
    <w:rsid w:val="00D86336"/>
    <w:rsid w:val="00D867BC"/>
    <w:rsid w:val="00D8681F"/>
    <w:rsid w:val="00D86AEE"/>
    <w:rsid w:val="00D873EA"/>
    <w:rsid w:val="00D87B01"/>
    <w:rsid w:val="00D87D0C"/>
    <w:rsid w:val="00D90154"/>
    <w:rsid w:val="00D903AA"/>
    <w:rsid w:val="00D904B7"/>
    <w:rsid w:val="00D90A69"/>
    <w:rsid w:val="00D91448"/>
    <w:rsid w:val="00D917A3"/>
    <w:rsid w:val="00D91830"/>
    <w:rsid w:val="00D91DC2"/>
    <w:rsid w:val="00D92365"/>
    <w:rsid w:val="00D923AC"/>
    <w:rsid w:val="00D925FE"/>
    <w:rsid w:val="00D92904"/>
    <w:rsid w:val="00D92BC8"/>
    <w:rsid w:val="00D93F15"/>
    <w:rsid w:val="00D944C2"/>
    <w:rsid w:val="00D9457D"/>
    <w:rsid w:val="00D945B7"/>
    <w:rsid w:val="00D94602"/>
    <w:rsid w:val="00D947B7"/>
    <w:rsid w:val="00D94C4B"/>
    <w:rsid w:val="00D950F1"/>
    <w:rsid w:val="00D9540D"/>
    <w:rsid w:val="00D95570"/>
    <w:rsid w:val="00D95B12"/>
    <w:rsid w:val="00D95B4F"/>
    <w:rsid w:val="00D95CB1"/>
    <w:rsid w:val="00D9605D"/>
    <w:rsid w:val="00D96199"/>
    <w:rsid w:val="00D963B2"/>
    <w:rsid w:val="00D96694"/>
    <w:rsid w:val="00D96AAB"/>
    <w:rsid w:val="00D96ACE"/>
    <w:rsid w:val="00D96C0A"/>
    <w:rsid w:val="00D96DC4"/>
    <w:rsid w:val="00D97142"/>
    <w:rsid w:val="00D97676"/>
    <w:rsid w:val="00D978BA"/>
    <w:rsid w:val="00D97D97"/>
    <w:rsid w:val="00D97F22"/>
    <w:rsid w:val="00DA0211"/>
    <w:rsid w:val="00DA05FD"/>
    <w:rsid w:val="00DA0974"/>
    <w:rsid w:val="00DA0B7D"/>
    <w:rsid w:val="00DA0D2D"/>
    <w:rsid w:val="00DA15A6"/>
    <w:rsid w:val="00DA1867"/>
    <w:rsid w:val="00DA1C09"/>
    <w:rsid w:val="00DA2137"/>
    <w:rsid w:val="00DA22BD"/>
    <w:rsid w:val="00DA24AB"/>
    <w:rsid w:val="00DA30C4"/>
    <w:rsid w:val="00DA34BF"/>
    <w:rsid w:val="00DA34F5"/>
    <w:rsid w:val="00DA36F2"/>
    <w:rsid w:val="00DA37A2"/>
    <w:rsid w:val="00DA381F"/>
    <w:rsid w:val="00DA3D36"/>
    <w:rsid w:val="00DA41FD"/>
    <w:rsid w:val="00DA49A7"/>
    <w:rsid w:val="00DA4F92"/>
    <w:rsid w:val="00DA5071"/>
    <w:rsid w:val="00DA51B9"/>
    <w:rsid w:val="00DA59A6"/>
    <w:rsid w:val="00DA5A49"/>
    <w:rsid w:val="00DA5BAA"/>
    <w:rsid w:val="00DA5CF4"/>
    <w:rsid w:val="00DA61C9"/>
    <w:rsid w:val="00DA6425"/>
    <w:rsid w:val="00DA6E31"/>
    <w:rsid w:val="00DA6F96"/>
    <w:rsid w:val="00DA73A5"/>
    <w:rsid w:val="00DA78CA"/>
    <w:rsid w:val="00DA7B0A"/>
    <w:rsid w:val="00DB0A32"/>
    <w:rsid w:val="00DB0B27"/>
    <w:rsid w:val="00DB0BE3"/>
    <w:rsid w:val="00DB1060"/>
    <w:rsid w:val="00DB10FB"/>
    <w:rsid w:val="00DB1390"/>
    <w:rsid w:val="00DB1494"/>
    <w:rsid w:val="00DB1EAD"/>
    <w:rsid w:val="00DB264E"/>
    <w:rsid w:val="00DB2E8A"/>
    <w:rsid w:val="00DB2F8D"/>
    <w:rsid w:val="00DB35A4"/>
    <w:rsid w:val="00DB4017"/>
    <w:rsid w:val="00DB4A82"/>
    <w:rsid w:val="00DB4C46"/>
    <w:rsid w:val="00DB4DAC"/>
    <w:rsid w:val="00DB4DD8"/>
    <w:rsid w:val="00DB4F26"/>
    <w:rsid w:val="00DB524D"/>
    <w:rsid w:val="00DB56B8"/>
    <w:rsid w:val="00DB5934"/>
    <w:rsid w:val="00DB59A8"/>
    <w:rsid w:val="00DB6188"/>
    <w:rsid w:val="00DB6393"/>
    <w:rsid w:val="00DB66C1"/>
    <w:rsid w:val="00DB6C4E"/>
    <w:rsid w:val="00DB7107"/>
    <w:rsid w:val="00DB716F"/>
    <w:rsid w:val="00DB720C"/>
    <w:rsid w:val="00DC01C4"/>
    <w:rsid w:val="00DC0243"/>
    <w:rsid w:val="00DC0684"/>
    <w:rsid w:val="00DC069C"/>
    <w:rsid w:val="00DC0968"/>
    <w:rsid w:val="00DC0CBA"/>
    <w:rsid w:val="00DC0DCB"/>
    <w:rsid w:val="00DC1060"/>
    <w:rsid w:val="00DC1ABD"/>
    <w:rsid w:val="00DC2A8B"/>
    <w:rsid w:val="00DC2D66"/>
    <w:rsid w:val="00DC3D7C"/>
    <w:rsid w:val="00DC405E"/>
    <w:rsid w:val="00DC4253"/>
    <w:rsid w:val="00DC44D6"/>
    <w:rsid w:val="00DC45CA"/>
    <w:rsid w:val="00DC463B"/>
    <w:rsid w:val="00DC4719"/>
    <w:rsid w:val="00DC4792"/>
    <w:rsid w:val="00DC47DB"/>
    <w:rsid w:val="00DC49B6"/>
    <w:rsid w:val="00DC4CF1"/>
    <w:rsid w:val="00DC52A5"/>
    <w:rsid w:val="00DC5310"/>
    <w:rsid w:val="00DC5726"/>
    <w:rsid w:val="00DC58E5"/>
    <w:rsid w:val="00DC5BE3"/>
    <w:rsid w:val="00DC5DCE"/>
    <w:rsid w:val="00DC608F"/>
    <w:rsid w:val="00DC632C"/>
    <w:rsid w:val="00DC68B7"/>
    <w:rsid w:val="00DC7055"/>
    <w:rsid w:val="00DC7235"/>
    <w:rsid w:val="00DC7423"/>
    <w:rsid w:val="00DC77C0"/>
    <w:rsid w:val="00DC7D54"/>
    <w:rsid w:val="00DD0479"/>
    <w:rsid w:val="00DD057C"/>
    <w:rsid w:val="00DD0619"/>
    <w:rsid w:val="00DD0857"/>
    <w:rsid w:val="00DD10B4"/>
    <w:rsid w:val="00DD10F1"/>
    <w:rsid w:val="00DD1337"/>
    <w:rsid w:val="00DD1467"/>
    <w:rsid w:val="00DD1D2D"/>
    <w:rsid w:val="00DD1EE4"/>
    <w:rsid w:val="00DD22C4"/>
    <w:rsid w:val="00DD2B62"/>
    <w:rsid w:val="00DD2DD0"/>
    <w:rsid w:val="00DD2E75"/>
    <w:rsid w:val="00DD2F5F"/>
    <w:rsid w:val="00DD2FFF"/>
    <w:rsid w:val="00DD37E8"/>
    <w:rsid w:val="00DD3E85"/>
    <w:rsid w:val="00DD405B"/>
    <w:rsid w:val="00DD4E35"/>
    <w:rsid w:val="00DD5304"/>
    <w:rsid w:val="00DD55C3"/>
    <w:rsid w:val="00DD5A67"/>
    <w:rsid w:val="00DD5D5F"/>
    <w:rsid w:val="00DD6014"/>
    <w:rsid w:val="00DD645D"/>
    <w:rsid w:val="00DD65B8"/>
    <w:rsid w:val="00DD65E9"/>
    <w:rsid w:val="00DD6B36"/>
    <w:rsid w:val="00DD6D23"/>
    <w:rsid w:val="00DD7474"/>
    <w:rsid w:val="00DD76FD"/>
    <w:rsid w:val="00DD7983"/>
    <w:rsid w:val="00DD7B9C"/>
    <w:rsid w:val="00DE08AA"/>
    <w:rsid w:val="00DE1264"/>
    <w:rsid w:val="00DE17C9"/>
    <w:rsid w:val="00DE1905"/>
    <w:rsid w:val="00DE1F77"/>
    <w:rsid w:val="00DE24F1"/>
    <w:rsid w:val="00DE2961"/>
    <w:rsid w:val="00DE2A8B"/>
    <w:rsid w:val="00DE2B1E"/>
    <w:rsid w:val="00DE2FA9"/>
    <w:rsid w:val="00DE2FE3"/>
    <w:rsid w:val="00DE31AC"/>
    <w:rsid w:val="00DE32EF"/>
    <w:rsid w:val="00DE3C84"/>
    <w:rsid w:val="00DE4140"/>
    <w:rsid w:val="00DE448D"/>
    <w:rsid w:val="00DE4956"/>
    <w:rsid w:val="00DE4998"/>
    <w:rsid w:val="00DE4C50"/>
    <w:rsid w:val="00DE4DC6"/>
    <w:rsid w:val="00DE509E"/>
    <w:rsid w:val="00DE5391"/>
    <w:rsid w:val="00DE5567"/>
    <w:rsid w:val="00DE566D"/>
    <w:rsid w:val="00DE59D2"/>
    <w:rsid w:val="00DE5A5B"/>
    <w:rsid w:val="00DE5B08"/>
    <w:rsid w:val="00DE5BD9"/>
    <w:rsid w:val="00DE5E60"/>
    <w:rsid w:val="00DE6235"/>
    <w:rsid w:val="00DE6CBF"/>
    <w:rsid w:val="00DE6E36"/>
    <w:rsid w:val="00DE6E82"/>
    <w:rsid w:val="00DE6FED"/>
    <w:rsid w:val="00DE7032"/>
    <w:rsid w:val="00DE7273"/>
    <w:rsid w:val="00DE72BD"/>
    <w:rsid w:val="00DE7336"/>
    <w:rsid w:val="00DE7EBA"/>
    <w:rsid w:val="00DE7F02"/>
    <w:rsid w:val="00DF009B"/>
    <w:rsid w:val="00DF02ED"/>
    <w:rsid w:val="00DF056A"/>
    <w:rsid w:val="00DF071F"/>
    <w:rsid w:val="00DF094D"/>
    <w:rsid w:val="00DF0C29"/>
    <w:rsid w:val="00DF11A9"/>
    <w:rsid w:val="00DF1398"/>
    <w:rsid w:val="00DF13DD"/>
    <w:rsid w:val="00DF1AD1"/>
    <w:rsid w:val="00DF2065"/>
    <w:rsid w:val="00DF23F9"/>
    <w:rsid w:val="00DF240F"/>
    <w:rsid w:val="00DF25A6"/>
    <w:rsid w:val="00DF2D10"/>
    <w:rsid w:val="00DF3143"/>
    <w:rsid w:val="00DF3D56"/>
    <w:rsid w:val="00DF3DC7"/>
    <w:rsid w:val="00DF4B3B"/>
    <w:rsid w:val="00DF56F0"/>
    <w:rsid w:val="00DF5BAA"/>
    <w:rsid w:val="00DF674F"/>
    <w:rsid w:val="00DF68AB"/>
    <w:rsid w:val="00DF6990"/>
    <w:rsid w:val="00DF6DE9"/>
    <w:rsid w:val="00DF6EFC"/>
    <w:rsid w:val="00DF6FF1"/>
    <w:rsid w:val="00DF7215"/>
    <w:rsid w:val="00DF759B"/>
    <w:rsid w:val="00DF78C0"/>
    <w:rsid w:val="00E00490"/>
    <w:rsid w:val="00E006CA"/>
    <w:rsid w:val="00E007DC"/>
    <w:rsid w:val="00E00B5E"/>
    <w:rsid w:val="00E01105"/>
    <w:rsid w:val="00E01269"/>
    <w:rsid w:val="00E012DB"/>
    <w:rsid w:val="00E0175E"/>
    <w:rsid w:val="00E01BCD"/>
    <w:rsid w:val="00E0301D"/>
    <w:rsid w:val="00E0355C"/>
    <w:rsid w:val="00E03A77"/>
    <w:rsid w:val="00E03F9A"/>
    <w:rsid w:val="00E0417A"/>
    <w:rsid w:val="00E04454"/>
    <w:rsid w:val="00E0473D"/>
    <w:rsid w:val="00E04818"/>
    <w:rsid w:val="00E04A6D"/>
    <w:rsid w:val="00E04E1C"/>
    <w:rsid w:val="00E04F19"/>
    <w:rsid w:val="00E05287"/>
    <w:rsid w:val="00E0542D"/>
    <w:rsid w:val="00E05CE1"/>
    <w:rsid w:val="00E05DBF"/>
    <w:rsid w:val="00E0604C"/>
    <w:rsid w:val="00E060A3"/>
    <w:rsid w:val="00E060A4"/>
    <w:rsid w:val="00E0645D"/>
    <w:rsid w:val="00E06ECE"/>
    <w:rsid w:val="00E07835"/>
    <w:rsid w:val="00E07968"/>
    <w:rsid w:val="00E07B75"/>
    <w:rsid w:val="00E07C32"/>
    <w:rsid w:val="00E1000F"/>
    <w:rsid w:val="00E10150"/>
    <w:rsid w:val="00E101C8"/>
    <w:rsid w:val="00E10570"/>
    <w:rsid w:val="00E10A52"/>
    <w:rsid w:val="00E10B63"/>
    <w:rsid w:val="00E10BD5"/>
    <w:rsid w:val="00E10D28"/>
    <w:rsid w:val="00E10E60"/>
    <w:rsid w:val="00E1101E"/>
    <w:rsid w:val="00E110DD"/>
    <w:rsid w:val="00E111E5"/>
    <w:rsid w:val="00E1122A"/>
    <w:rsid w:val="00E1123C"/>
    <w:rsid w:val="00E1146D"/>
    <w:rsid w:val="00E11850"/>
    <w:rsid w:val="00E119E0"/>
    <w:rsid w:val="00E12B2B"/>
    <w:rsid w:val="00E12BAE"/>
    <w:rsid w:val="00E13011"/>
    <w:rsid w:val="00E133CB"/>
    <w:rsid w:val="00E13460"/>
    <w:rsid w:val="00E13A60"/>
    <w:rsid w:val="00E13E31"/>
    <w:rsid w:val="00E1419F"/>
    <w:rsid w:val="00E14492"/>
    <w:rsid w:val="00E14D6A"/>
    <w:rsid w:val="00E15033"/>
    <w:rsid w:val="00E151B0"/>
    <w:rsid w:val="00E15270"/>
    <w:rsid w:val="00E157B6"/>
    <w:rsid w:val="00E15DEC"/>
    <w:rsid w:val="00E15EB6"/>
    <w:rsid w:val="00E15FF3"/>
    <w:rsid w:val="00E1638A"/>
    <w:rsid w:val="00E17019"/>
    <w:rsid w:val="00E1754D"/>
    <w:rsid w:val="00E1769F"/>
    <w:rsid w:val="00E17A5E"/>
    <w:rsid w:val="00E17E5F"/>
    <w:rsid w:val="00E202A8"/>
    <w:rsid w:val="00E20552"/>
    <w:rsid w:val="00E20653"/>
    <w:rsid w:val="00E20842"/>
    <w:rsid w:val="00E219A7"/>
    <w:rsid w:val="00E21A80"/>
    <w:rsid w:val="00E21CF3"/>
    <w:rsid w:val="00E22045"/>
    <w:rsid w:val="00E220EC"/>
    <w:rsid w:val="00E23369"/>
    <w:rsid w:val="00E23413"/>
    <w:rsid w:val="00E239FA"/>
    <w:rsid w:val="00E23B56"/>
    <w:rsid w:val="00E23C32"/>
    <w:rsid w:val="00E24027"/>
    <w:rsid w:val="00E244E1"/>
    <w:rsid w:val="00E2450F"/>
    <w:rsid w:val="00E24A42"/>
    <w:rsid w:val="00E250A6"/>
    <w:rsid w:val="00E25227"/>
    <w:rsid w:val="00E2559C"/>
    <w:rsid w:val="00E25B07"/>
    <w:rsid w:val="00E26138"/>
    <w:rsid w:val="00E2664C"/>
    <w:rsid w:val="00E2665E"/>
    <w:rsid w:val="00E268CD"/>
    <w:rsid w:val="00E26912"/>
    <w:rsid w:val="00E26AC7"/>
    <w:rsid w:val="00E26B6A"/>
    <w:rsid w:val="00E26DC7"/>
    <w:rsid w:val="00E26E19"/>
    <w:rsid w:val="00E272D2"/>
    <w:rsid w:val="00E27890"/>
    <w:rsid w:val="00E27A4A"/>
    <w:rsid w:val="00E27A53"/>
    <w:rsid w:val="00E27AEC"/>
    <w:rsid w:val="00E27CC1"/>
    <w:rsid w:val="00E304B1"/>
    <w:rsid w:val="00E304FD"/>
    <w:rsid w:val="00E305B5"/>
    <w:rsid w:val="00E306BF"/>
    <w:rsid w:val="00E30990"/>
    <w:rsid w:val="00E314CB"/>
    <w:rsid w:val="00E31664"/>
    <w:rsid w:val="00E31828"/>
    <w:rsid w:val="00E318E1"/>
    <w:rsid w:val="00E32557"/>
    <w:rsid w:val="00E32CDB"/>
    <w:rsid w:val="00E334DB"/>
    <w:rsid w:val="00E3364F"/>
    <w:rsid w:val="00E336E9"/>
    <w:rsid w:val="00E342F7"/>
    <w:rsid w:val="00E344A9"/>
    <w:rsid w:val="00E34500"/>
    <w:rsid w:val="00E34727"/>
    <w:rsid w:val="00E34F2B"/>
    <w:rsid w:val="00E35069"/>
    <w:rsid w:val="00E35302"/>
    <w:rsid w:val="00E360C6"/>
    <w:rsid w:val="00E36D43"/>
    <w:rsid w:val="00E37269"/>
    <w:rsid w:val="00E3731B"/>
    <w:rsid w:val="00E406DD"/>
    <w:rsid w:val="00E408CA"/>
    <w:rsid w:val="00E40AE3"/>
    <w:rsid w:val="00E40DCC"/>
    <w:rsid w:val="00E41221"/>
    <w:rsid w:val="00E41308"/>
    <w:rsid w:val="00E41D03"/>
    <w:rsid w:val="00E421FD"/>
    <w:rsid w:val="00E42898"/>
    <w:rsid w:val="00E432A7"/>
    <w:rsid w:val="00E4393D"/>
    <w:rsid w:val="00E43D72"/>
    <w:rsid w:val="00E43DAC"/>
    <w:rsid w:val="00E4456E"/>
    <w:rsid w:val="00E44E43"/>
    <w:rsid w:val="00E44F14"/>
    <w:rsid w:val="00E4504E"/>
    <w:rsid w:val="00E451BC"/>
    <w:rsid w:val="00E452CA"/>
    <w:rsid w:val="00E45381"/>
    <w:rsid w:val="00E45518"/>
    <w:rsid w:val="00E455B6"/>
    <w:rsid w:val="00E455B8"/>
    <w:rsid w:val="00E458B8"/>
    <w:rsid w:val="00E4601C"/>
    <w:rsid w:val="00E46940"/>
    <w:rsid w:val="00E46985"/>
    <w:rsid w:val="00E4787C"/>
    <w:rsid w:val="00E50961"/>
    <w:rsid w:val="00E515AD"/>
    <w:rsid w:val="00E5170B"/>
    <w:rsid w:val="00E51745"/>
    <w:rsid w:val="00E51E55"/>
    <w:rsid w:val="00E520E0"/>
    <w:rsid w:val="00E52336"/>
    <w:rsid w:val="00E523BB"/>
    <w:rsid w:val="00E52813"/>
    <w:rsid w:val="00E52973"/>
    <w:rsid w:val="00E52B7D"/>
    <w:rsid w:val="00E52E9A"/>
    <w:rsid w:val="00E52F36"/>
    <w:rsid w:val="00E532B7"/>
    <w:rsid w:val="00E53A5A"/>
    <w:rsid w:val="00E53B11"/>
    <w:rsid w:val="00E53CD0"/>
    <w:rsid w:val="00E542BE"/>
    <w:rsid w:val="00E5445B"/>
    <w:rsid w:val="00E546BA"/>
    <w:rsid w:val="00E54875"/>
    <w:rsid w:val="00E5521C"/>
    <w:rsid w:val="00E558EF"/>
    <w:rsid w:val="00E55A7F"/>
    <w:rsid w:val="00E55AAE"/>
    <w:rsid w:val="00E55BEA"/>
    <w:rsid w:val="00E55EB3"/>
    <w:rsid w:val="00E55F6F"/>
    <w:rsid w:val="00E565CA"/>
    <w:rsid w:val="00E56888"/>
    <w:rsid w:val="00E56C92"/>
    <w:rsid w:val="00E5733A"/>
    <w:rsid w:val="00E57B10"/>
    <w:rsid w:val="00E57E4A"/>
    <w:rsid w:val="00E600EE"/>
    <w:rsid w:val="00E601DF"/>
    <w:rsid w:val="00E6046F"/>
    <w:rsid w:val="00E605FF"/>
    <w:rsid w:val="00E609ED"/>
    <w:rsid w:val="00E60A9B"/>
    <w:rsid w:val="00E60BCD"/>
    <w:rsid w:val="00E6123D"/>
    <w:rsid w:val="00E6184F"/>
    <w:rsid w:val="00E61EFF"/>
    <w:rsid w:val="00E6224B"/>
    <w:rsid w:val="00E62595"/>
    <w:rsid w:val="00E62B65"/>
    <w:rsid w:val="00E6311F"/>
    <w:rsid w:val="00E63820"/>
    <w:rsid w:val="00E639E8"/>
    <w:rsid w:val="00E63AD7"/>
    <w:rsid w:val="00E63B16"/>
    <w:rsid w:val="00E63EDA"/>
    <w:rsid w:val="00E6511E"/>
    <w:rsid w:val="00E65284"/>
    <w:rsid w:val="00E6534E"/>
    <w:rsid w:val="00E6584C"/>
    <w:rsid w:val="00E65BC6"/>
    <w:rsid w:val="00E65E30"/>
    <w:rsid w:val="00E660A8"/>
    <w:rsid w:val="00E66385"/>
    <w:rsid w:val="00E66400"/>
    <w:rsid w:val="00E66435"/>
    <w:rsid w:val="00E66957"/>
    <w:rsid w:val="00E66E33"/>
    <w:rsid w:val="00E6702E"/>
    <w:rsid w:val="00E6722A"/>
    <w:rsid w:val="00E67501"/>
    <w:rsid w:val="00E70368"/>
    <w:rsid w:val="00E7036D"/>
    <w:rsid w:val="00E7083E"/>
    <w:rsid w:val="00E70C5D"/>
    <w:rsid w:val="00E70CA9"/>
    <w:rsid w:val="00E715B4"/>
    <w:rsid w:val="00E7183B"/>
    <w:rsid w:val="00E71895"/>
    <w:rsid w:val="00E71D11"/>
    <w:rsid w:val="00E72066"/>
    <w:rsid w:val="00E72283"/>
    <w:rsid w:val="00E72D3C"/>
    <w:rsid w:val="00E73B70"/>
    <w:rsid w:val="00E73B90"/>
    <w:rsid w:val="00E74254"/>
    <w:rsid w:val="00E7451B"/>
    <w:rsid w:val="00E74D7C"/>
    <w:rsid w:val="00E74D84"/>
    <w:rsid w:val="00E74F81"/>
    <w:rsid w:val="00E75618"/>
    <w:rsid w:val="00E757CA"/>
    <w:rsid w:val="00E75BDD"/>
    <w:rsid w:val="00E763EF"/>
    <w:rsid w:val="00E766C9"/>
    <w:rsid w:val="00E76FEF"/>
    <w:rsid w:val="00E771DC"/>
    <w:rsid w:val="00E77819"/>
    <w:rsid w:val="00E7798B"/>
    <w:rsid w:val="00E80525"/>
    <w:rsid w:val="00E8077C"/>
    <w:rsid w:val="00E808C2"/>
    <w:rsid w:val="00E80920"/>
    <w:rsid w:val="00E8093F"/>
    <w:rsid w:val="00E80955"/>
    <w:rsid w:val="00E80D11"/>
    <w:rsid w:val="00E81082"/>
    <w:rsid w:val="00E81273"/>
    <w:rsid w:val="00E813C1"/>
    <w:rsid w:val="00E8144B"/>
    <w:rsid w:val="00E814F9"/>
    <w:rsid w:val="00E81612"/>
    <w:rsid w:val="00E81A8B"/>
    <w:rsid w:val="00E81AFA"/>
    <w:rsid w:val="00E81C0D"/>
    <w:rsid w:val="00E821D6"/>
    <w:rsid w:val="00E82473"/>
    <w:rsid w:val="00E82B34"/>
    <w:rsid w:val="00E82E27"/>
    <w:rsid w:val="00E831C5"/>
    <w:rsid w:val="00E83439"/>
    <w:rsid w:val="00E837A7"/>
    <w:rsid w:val="00E839E8"/>
    <w:rsid w:val="00E83BFA"/>
    <w:rsid w:val="00E83DCE"/>
    <w:rsid w:val="00E84027"/>
    <w:rsid w:val="00E84830"/>
    <w:rsid w:val="00E84A31"/>
    <w:rsid w:val="00E84C25"/>
    <w:rsid w:val="00E852E1"/>
    <w:rsid w:val="00E8530F"/>
    <w:rsid w:val="00E85466"/>
    <w:rsid w:val="00E8559E"/>
    <w:rsid w:val="00E85660"/>
    <w:rsid w:val="00E85DD5"/>
    <w:rsid w:val="00E85E40"/>
    <w:rsid w:val="00E862C3"/>
    <w:rsid w:val="00E86954"/>
    <w:rsid w:val="00E86B56"/>
    <w:rsid w:val="00E87B8C"/>
    <w:rsid w:val="00E87F40"/>
    <w:rsid w:val="00E87F63"/>
    <w:rsid w:val="00E87FCF"/>
    <w:rsid w:val="00E87FD5"/>
    <w:rsid w:val="00E9046D"/>
    <w:rsid w:val="00E90790"/>
    <w:rsid w:val="00E9079C"/>
    <w:rsid w:val="00E90B1B"/>
    <w:rsid w:val="00E9106F"/>
    <w:rsid w:val="00E914EA"/>
    <w:rsid w:val="00E91529"/>
    <w:rsid w:val="00E91690"/>
    <w:rsid w:val="00E91AC7"/>
    <w:rsid w:val="00E91C8C"/>
    <w:rsid w:val="00E91D8E"/>
    <w:rsid w:val="00E922A1"/>
    <w:rsid w:val="00E92362"/>
    <w:rsid w:val="00E9259C"/>
    <w:rsid w:val="00E9305F"/>
    <w:rsid w:val="00E9387B"/>
    <w:rsid w:val="00E93BC0"/>
    <w:rsid w:val="00E94188"/>
    <w:rsid w:val="00E9452D"/>
    <w:rsid w:val="00E947CE"/>
    <w:rsid w:val="00E94E36"/>
    <w:rsid w:val="00E94E7D"/>
    <w:rsid w:val="00E953FA"/>
    <w:rsid w:val="00E95400"/>
    <w:rsid w:val="00E96581"/>
    <w:rsid w:val="00E965B6"/>
    <w:rsid w:val="00E96F8B"/>
    <w:rsid w:val="00E974BD"/>
    <w:rsid w:val="00E97F42"/>
    <w:rsid w:val="00EA0325"/>
    <w:rsid w:val="00EA06C0"/>
    <w:rsid w:val="00EA08C6"/>
    <w:rsid w:val="00EA10E6"/>
    <w:rsid w:val="00EA15FE"/>
    <w:rsid w:val="00EA1FEC"/>
    <w:rsid w:val="00EA22C2"/>
    <w:rsid w:val="00EA26FD"/>
    <w:rsid w:val="00EA276D"/>
    <w:rsid w:val="00EA288E"/>
    <w:rsid w:val="00EA2906"/>
    <w:rsid w:val="00EA2C49"/>
    <w:rsid w:val="00EA36EF"/>
    <w:rsid w:val="00EA388B"/>
    <w:rsid w:val="00EA39A8"/>
    <w:rsid w:val="00EA3B13"/>
    <w:rsid w:val="00EA3D2E"/>
    <w:rsid w:val="00EA3FB2"/>
    <w:rsid w:val="00EA5010"/>
    <w:rsid w:val="00EA526D"/>
    <w:rsid w:val="00EA5D48"/>
    <w:rsid w:val="00EA5D94"/>
    <w:rsid w:val="00EA61AC"/>
    <w:rsid w:val="00EA622D"/>
    <w:rsid w:val="00EA644F"/>
    <w:rsid w:val="00EA66A7"/>
    <w:rsid w:val="00EA6886"/>
    <w:rsid w:val="00EA6D84"/>
    <w:rsid w:val="00EA70A8"/>
    <w:rsid w:val="00EA70AC"/>
    <w:rsid w:val="00EA7368"/>
    <w:rsid w:val="00EA767D"/>
    <w:rsid w:val="00EA7895"/>
    <w:rsid w:val="00EA7AFF"/>
    <w:rsid w:val="00EA7C07"/>
    <w:rsid w:val="00EA7C4E"/>
    <w:rsid w:val="00EA7CD3"/>
    <w:rsid w:val="00EA7D3F"/>
    <w:rsid w:val="00EB0439"/>
    <w:rsid w:val="00EB084B"/>
    <w:rsid w:val="00EB0C0E"/>
    <w:rsid w:val="00EB0F52"/>
    <w:rsid w:val="00EB1716"/>
    <w:rsid w:val="00EB1AA2"/>
    <w:rsid w:val="00EB1C94"/>
    <w:rsid w:val="00EB281B"/>
    <w:rsid w:val="00EB2DD6"/>
    <w:rsid w:val="00EB2F35"/>
    <w:rsid w:val="00EB33AE"/>
    <w:rsid w:val="00EB3BFA"/>
    <w:rsid w:val="00EB3D20"/>
    <w:rsid w:val="00EB3D3E"/>
    <w:rsid w:val="00EB41D4"/>
    <w:rsid w:val="00EB4210"/>
    <w:rsid w:val="00EB4B6B"/>
    <w:rsid w:val="00EB4E14"/>
    <w:rsid w:val="00EB4E54"/>
    <w:rsid w:val="00EB51CD"/>
    <w:rsid w:val="00EB562C"/>
    <w:rsid w:val="00EB568D"/>
    <w:rsid w:val="00EB583F"/>
    <w:rsid w:val="00EB5F5B"/>
    <w:rsid w:val="00EB5FDF"/>
    <w:rsid w:val="00EB61BF"/>
    <w:rsid w:val="00EB67F0"/>
    <w:rsid w:val="00EB6996"/>
    <w:rsid w:val="00EB6A15"/>
    <w:rsid w:val="00EB6F8E"/>
    <w:rsid w:val="00EB70C3"/>
    <w:rsid w:val="00EB73CC"/>
    <w:rsid w:val="00EB74CE"/>
    <w:rsid w:val="00EC02C5"/>
    <w:rsid w:val="00EC0592"/>
    <w:rsid w:val="00EC0E55"/>
    <w:rsid w:val="00EC0E58"/>
    <w:rsid w:val="00EC15FF"/>
    <w:rsid w:val="00EC1787"/>
    <w:rsid w:val="00EC179E"/>
    <w:rsid w:val="00EC18C6"/>
    <w:rsid w:val="00EC24F1"/>
    <w:rsid w:val="00EC276D"/>
    <w:rsid w:val="00EC2B8C"/>
    <w:rsid w:val="00EC2D85"/>
    <w:rsid w:val="00EC37B1"/>
    <w:rsid w:val="00EC3CAA"/>
    <w:rsid w:val="00EC3CF0"/>
    <w:rsid w:val="00EC3D11"/>
    <w:rsid w:val="00EC4169"/>
    <w:rsid w:val="00EC4202"/>
    <w:rsid w:val="00EC4653"/>
    <w:rsid w:val="00EC47AF"/>
    <w:rsid w:val="00EC4F4C"/>
    <w:rsid w:val="00EC509F"/>
    <w:rsid w:val="00EC59C5"/>
    <w:rsid w:val="00EC5AD2"/>
    <w:rsid w:val="00EC5AF2"/>
    <w:rsid w:val="00EC703E"/>
    <w:rsid w:val="00EC70A9"/>
    <w:rsid w:val="00EC7424"/>
    <w:rsid w:val="00EC751F"/>
    <w:rsid w:val="00EC772E"/>
    <w:rsid w:val="00EC7BDF"/>
    <w:rsid w:val="00ED00AA"/>
    <w:rsid w:val="00ED00F4"/>
    <w:rsid w:val="00ED046E"/>
    <w:rsid w:val="00ED04A4"/>
    <w:rsid w:val="00ED0514"/>
    <w:rsid w:val="00ED060B"/>
    <w:rsid w:val="00ED0B09"/>
    <w:rsid w:val="00ED0C29"/>
    <w:rsid w:val="00ED0CD6"/>
    <w:rsid w:val="00ED103A"/>
    <w:rsid w:val="00ED12E8"/>
    <w:rsid w:val="00ED1948"/>
    <w:rsid w:val="00ED1B35"/>
    <w:rsid w:val="00ED1B5C"/>
    <w:rsid w:val="00ED1C2A"/>
    <w:rsid w:val="00ED1DF2"/>
    <w:rsid w:val="00ED1EE4"/>
    <w:rsid w:val="00ED1EFA"/>
    <w:rsid w:val="00ED2184"/>
    <w:rsid w:val="00ED2229"/>
    <w:rsid w:val="00ED27B0"/>
    <w:rsid w:val="00ED2ED5"/>
    <w:rsid w:val="00ED3535"/>
    <w:rsid w:val="00ED5047"/>
    <w:rsid w:val="00ED5B19"/>
    <w:rsid w:val="00ED6E93"/>
    <w:rsid w:val="00ED6FF9"/>
    <w:rsid w:val="00EE008B"/>
    <w:rsid w:val="00EE03A0"/>
    <w:rsid w:val="00EE069B"/>
    <w:rsid w:val="00EE06D5"/>
    <w:rsid w:val="00EE0F9F"/>
    <w:rsid w:val="00EE0FCC"/>
    <w:rsid w:val="00EE1593"/>
    <w:rsid w:val="00EE1F40"/>
    <w:rsid w:val="00EE1FB7"/>
    <w:rsid w:val="00EE2831"/>
    <w:rsid w:val="00EE28B7"/>
    <w:rsid w:val="00EE2997"/>
    <w:rsid w:val="00EE2BB0"/>
    <w:rsid w:val="00EE32DD"/>
    <w:rsid w:val="00EE3C77"/>
    <w:rsid w:val="00EE417A"/>
    <w:rsid w:val="00EE4BFB"/>
    <w:rsid w:val="00EE50FC"/>
    <w:rsid w:val="00EE51ED"/>
    <w:rsid w:val="00EE5869"/>
    <w:rsid w:val="00EE58EA"/>
    <w:rsid w:val="00EE59A9"/>
    <w:rsid w:val="00EE5BD4"/>
    <w:rsid w:val="00EE5C25"/>
    <w:rsid w:val="00EE5EA8"/>
    <w:rsid w:val="00EE60E0"/>
    <w:rsid w:val="00EE64D5"/>
    <w:rsid w:val="00EE6527"/>
    <w:rsid w:val="00EE6F72"/>
    <w:rsid w:val="00EE6F7E"/>
    <w:rsid w:val="00EE740A"/>
    <w:rsid w:val="00EE7E46"/>
    <w:rsid w:val="00EF0681"/>
    <w:rsid w:val="00EF0757"/>
    <w:rsid w:val="00EF08C6"/>
    <w:rsid w:val="00EF11A6"/>
    <w:rsid w:val="00EF1605"/>
    <w:rsid w:val="00EF17DC"/>
    <w:rsid w:val="00EF1E9D"/>
    <w:rsid w:val="00EF2402"/>
    <w:rsid w:val="00EF3012"/>
    <w:rsid w:val="00EF3234"/>
    <w:rsid w:val="00EF355B"/>
    <w:rsid w:val="00EF3EE4"/>
    <w:rsid w:val="00EF406D"/>
    <w:rsid w:val="00EF415A"/>
    <w:rsid w:val="00EF41F0"/>
    <w:rsid w:val="00EF4317"/>
    <w:rsid w:val="00EF4FF7"/>
    <w:rsid w:val="00EF5938"/>
    <w:rsid w:val="00EF5BC4"/>
    <w:rsid w:val="00EF5C3B"/>
    <w:rsid w:val="00EF5C6B"/>
    <w:rsid w:val="00EF650C"/>
    <w:rsid w:val="00EF6956"/>
    <w:rsid w:val="00EF6A5E"/>
    <w:rsid w:val="00EF6BFA"/>
    <w:rsid w:val="00EF6DD0"/>
    <w:rsid w:val="00EF6E1C"/>
    <w:rsid w:val="00EF6E88"/>
    <w:rsid w:val="00EF6F61"/>
    <w:rsid w:val="00EF7339"/>
    <w:rsid w:val="00EF7B83"/>
    <w:rsid w:val="00EF7CB8"/>
    <w:rsid w:val="00EF7D1F"/>
    <w:rsid w:val="00F0043C"/>
    <w:rsid w:val="00F0080B"/>
    <w:rsid w:val="00F00901"/>
    <w:rsid w:val="00F00BA8"/>
    <w:rsid w:val="00F00C04"/>
    <w:rsid w:val="00F0102E"/>
    <w:rsid w:val="00F01644"/>
    <w:rsid w:val="00F020EF"/>
    <w:rsid w:val="00F02140"/>
    <w:rsid w:val="00F02540"/>
    <w:rsid w:val="00F03336"/>
    <w:rsid w:val="00F03509"/>
    <w:rsid w:val="00F03967"/>
    <w:rsid w:val="00F03A91"/>
    <w:rsid w:val="00F03BCE"/>
    <w:rsid w:val="00F03D2C"/>
    <w:rsid w:val="00F0413A"/>
    <w:rsid w:val="00F042D9"/>
    <w:rsid w:val="00F0448A"/>
    <w:rsid w:val="00F05063"/>
    <w:rsid w:val="00F050DB"/>
    <w:rsid w:val="00F0520B"/>
    <w:rsid w:val="00F05330"/>
    <w:rsid w:val="00F0536B"/>
    <w:rsid w:val="00F0546C"/>
    <w:rsid w:val="00F05BAE"/>
    <w:rsid w:val="00F06031"/>
    <w:rsid w:val="00F06101"/>
    <w:rsid w:val="00F064E7"/>
    <w:rsid w:val="00F06529"/>
    <w:rsid w:val="00F06C5B"/>
    <w:rsid w:val="00F06D16"/>
    <w:rsid w:val="00F06DA4"/>
    <w:rsid w:val="00F074E9"/>
    <w:rsid w:val="00F07756"/>
    <w:rsid w:val="00F07DF8"/>
    <w:rsid w:val="00F07F4E"/>
    <w:rsid w:val="00F104A3"/>
    <w:rsid w:val="00F10A40"/>
    <w:rsid w:val="00F10AC5"/>
    <w:rsid w:val="00F10B7C"/>
    <w:rsid w:val="00F10DDA"/>
    <w:rsid w:val="00F110F7"/>
    <w:rsid w:val="00F113E1"/>
    <w:rsid w:val="00F11A40"/>
    <w:rsid w:val="00F11C3A"/>
    <w:rsid w:val="00F11CFC"/>
    <w:rsid w:val="00F11D2B"/>
    <w:rsid w:val="00F122CA"/>
    <w:rsid w:val="00F125EC"/>
    <w:rsid w:val="00F12715"/>
    <w:rsid w:val="00F127CD"/>
    <w:rsid w:val="00F12EC4"/>
    <w:rsid w:val="00F12FB7"/>
    <w:rsid w:val="00F13286"/>
    <w:rsid w:val="00F13497"/>
    <w:rsid w:val="00F1465F"/>
    <w:rsid w:val="00F14A81"/>
    <w:rsid w:val="00F14C14"/>
    <w:rsid w:val="00F14CE8"/>
    <w:rsid w:val="00F14D7A"/>
    <w:rsid w:val="00F152BE"/>
    <w:rsid w:val="00F156CE"/>
    <w:rsid w:val="00F15DF4"/>
    <w:rsid w:val="00F16689"/>
    <w:rsid w:val="00F16749"/>
    <w:rsid w:val="00F16945"/>
    <w:rsid w:val="00F16E26"/>
    <w:rsid w:val="00F17629"/>
    <w:rsid w:val="00F17D28"/>
    <w:rsid w:val="00F17F7F"/>
    <w:rsid w:val="00F20998"/>
    <w:rsid w:val="00F20AB2"/>
    <w:rsid w:val="00F20F29"/>
    <w:rsid w:val="00F2106A"/>
    <w:rsid w:val="00F2165B"/>
    <w:rsid w:val="00F21A9B"/>
    <w:rsid w:val="00F21C6D"/>
    <w:rsid w:val="00F222FA"/>
    <w:rsid w:val="00F22445"/>
    <w:rsid w:val="00F224ED"/>
    <w:rsid w:val="00F226A7"/>
    <w:rsid w:val="00F229DE"/>
    <w:rsid w:val="00F23E10"/>
    <w:rsid w:val="00F24025"/>
    <w:rsid w:val="00F24038"/>
    <w:rsid w:val="00F243D9"/>
    <w:rsid w:val="00F249B8"/>
    <w:rsid w:val="00F24D30"/>
    <w:rsid w:val="00F250DD"/>
    <w:rsid w:val="00F2539E"/>
    <w:rsid w:val="00F253F9"/>
    <w:rsid w:val="00F25478"/>
    <w:rsid w:val="00F25995"/>
    <w:rsid w:val="00F25B68"/>
    <w:rsid w:val="00F260FE"/>
    <w:rsid w:val="00F2639F"/>
    <w:rsid w:val="00F26714"/>
    <w:rsid w:val="00F26838"/>
    <w:rsid w:val="00F26EAA"/>
    <w:rsid w:val="00F2772A"/>
    <w:rsid w:val="00F30362"/>
    <w:rsid w:val="00F3059F"/>
    <w:rsid w:val="00F316EE"/>
    <w:rsid w:val="00F317D0"/>
    <w:rsid w:val="00F318C5"/>
    <w:rsid w:val="00F31BED"/>
    <w:rsid w:val="00F322ED"/>
    <w:rsid w:val="00F32739"/>
    <w:rsid w:val="00F32801"/>
    <w:rsid w:val="00F32823"/>
    <w:rsid w:val="00F33052"/>
    <w:rsid w:val="00F332F5"/>
    <w:rsid w:val="00F334A1"/>
    <w:rsid w:val="00F34286"/>
    <w:rsid w:val="00F343EC"/>
    <w:rsid w:val="00F344FA"/>
    <w:rsid w:val="00F35B78"/>
    <w:rsid w:val="00F35C25"/>
    <w:rsid w:val="00F35F8D"/>
    <w:rsid w:val="00F3671F"/>
    <w:rsid w:val="00F3683A"/>
    <w:rsid w:val="00F36ACE"/>
    <w:rsid w:val="00F36AEF"/>
    <w:rsid w:val="00F36F1E"/>
    <w:rsid w:val="00F37031"/>
    <w:rsid w:val="00F37115"/>
    <w:rsid w:val="00F3782D"/>
    <w:rsid w:val="00F3786E"/>
    <w:rsid w:val="00F37CFE"/>
    <w:rsid w:val="00F37DA0"/>
    <w:rsid w:val="00F37E71"/>
    <w:rsid w:val="00F4002B"/>
    <w:rsid w:val="00F40677"/>
    <w:rsid w:val="00F413AD"/>
    <w:rsid w:val="00F41557"/>
    <w:rsid w:val="00F415E8"/>
    <w:rsid w:val="00F417E6"/>
    <w:rsid w:val="00F4190D"/>
    <w:rsid w:val="00F41968"/>
    <w:rsid w:val="00F41974"/>
    <w:rsid w:val="00F422DA"/>
    <w:rsid w:val="00F42435"/>
    <w:rsid w:val="00F4254A"/>
    <w:rsid w:val="00F4272B"/>
    <w:rsid w:val="00F4285B"/>
    <w:rsid w:val="00F42CCD"/>
    <w:rsid w:val="00F42D02"/>
    <w:rsid w:val="00F4305D"/>
    <w:rsid w:val="00F43F76"/>
    <w:rsid w:val="00F43FF5"/>
    <w:rsid w:val="00F44BD9"/>
    <w:rsid w:val="00F450F7"/>
    <w:rsid w:val="00F4559D"/>
    <w:rsid w:val="00F45957"/>
    <w:rsid w:val="00F45B82"/>
    <w:rsid w:val="00F45E89"/>
    <w:rsid w:val="00F461B5"/>
    <w:rsid w:val="00F464FE"/>
    <w:rsid w:val="00F4674D"/>
    <w:rsid w:val="00F46950"/>
    <w:rsid w:val="00F469B2"/>
    <w:rsid w:val="00F46FF2"/>
    <w:rsid w:val="00F475C5"/>
    <w:rsid w:val="00F47DE5"/>
    <w:rsid w:val="00F47FCD"/>
    <w:rsid w:val="00F50518"/>
    <w:rsid w:val="00F506A4"/>
    <w:rsid w:val="00F50B66"/>
    <w:rsid w:val="00F50CD0"/>
    <w:rsid w:val="00F50FCF"/>
    <w:rsid w:val="00F510D0"/>
    <w:rsid w:val="00F51105"/>
    <w:rsid w:val="00F51206"/>
    <w:rsid w:val="00F513F7"/>
    <w:rsid w:val="00F514EF"/>
    <w:rsid w:val="00F51664"/>
    <w:rsid w:val="00F517FC"/>
    <w:rsid w:val="00F519EB"/>
    <w:rsid w:val="00F51AD5"/>
    <w:rsid w:val="00F51B77"/>
    <w:rsid w:val="00F51BFE"/>
    <w:rsid w:val="00F51E21"/>
    <w:rsid w:val="00F51F72"/>
    <w:rsid w:val="00F520C5"/>
    <w:rsid w:val="00F526D6"/>
    <w:rsid w:val="00F527F9"/>
    <w:rsid w:val="00F52B0F"/>
    <w:rsid w:val="00F52C19"/>
    <w:rsid w:val="00F52FB6"/>
    <w:rsid w:val="00F53FFD"/>
    <w:rsid w:val="00F5409A"/>
    <w:rsid w:val="00F54291"/>
    <w:rsid w:val="00F55280"/>
    <w:rsid w:val="00F55FDF"/>
    <w:rsid w:val="00F56A0C"/>
    <w:rsid w:val="00F56A0D"/>
    <w:rsid w:val="00F56A56"/>
    <w:rsid w:val="00F56F84"/>
    <w:rsid w:val="00F5707D"/>
    <w:rsid w:val="00F570C2"/>
    <w:rsid w:val="00F572D0"/>
    <w:rsid w:val="00F5743F"/>
    <w:rsid w:val="00F57709"/>
    <w:rsid w:val="00F57724"/>
    <w:rsid w:val="00F57DC3"/>
    <w:rsid w:val="00F57DEA"/>
    <w:rsid w:val="00F57F45"/>
    <w:rsid w:val="00F60029"/>
    <w:rsid w:val="00F60228"/>
    <w:rsid w:val="00F602D7"/>
    <w:rsid w:val="00F6043B"/>
    <w:rsid w:val="00F60A7E"/>
    <w:rsid w:val="00F60CC8"/>
    <w:rsid w:val="00F60F8B"/>
    <w:rsid w:val="00F60FAB"/>
    <w:rsid w:val="00F61139"/>
    <w:rsid w:val="00F61631"/>
    <w:rsid w:val="00F61774"/>
    <w:rsid w:val="00F61D6B"/>
    <w:rsid w:val="00F61E77"/>
    <w:rsid w:val="00F62846"/>
    <w:rsid w:val="00F6289E"/>
    <w:rsid w:val="00F62D90"/>
    <w:rsid w:val="00F62EA3"/>
    <w:rsid w:val="00F6319B"/>
    <w:rsid w:val="00F63336"/>
    <w:rsid w:val="00F637B3"/>
    <w:rsid w:val="00F6418B"/>
    <w:rsid w:val="00F642D5"/>
    <w:rsid w:val="00F644CD"/>
    <w:rsid w:val="00F645E2"/>
    <w:rsid w:val="00F6483C"/>
    <w:rsid w:val="00F6587F"/>
    <w:rsid w:val="00F65B9E"/>
    <w:rsid w:val="00F65E65"/>
    <w:rsid w:val="00F664D3"/>
    <w:rsid w:val="00F670EB"/>
    <w:rsid w:val="00F67586"/>
    <w:rsid w:val="00F6770F"/>
    <w:rsid w:val="00F67964"/>
    <w:rsid w:val="00F67D61"/>
    <w:rsid w:val="00F67ED7"/>
    <w:rsid w:val="00F70BC5"/>
    <w:rsid w:val="00F70C29"/>
    <w:rsid w:val="00F70C66"/>
    <w:rsid w:val="00F70F34"/>
    <w:rsid w:val="00F713ED"/>
    <w:rsid w:val="00F72135"/>
    <w:rsid w:val="00F7292D"/>
    <w:rsid w:val="00F72946"/>
    <w:rsid w:val="00F72E31"/>
    <w:rsid w:val="00F7309E"/>
    <w:rsid w:val="00F73311"/>
    <w:rsid w:val="00F73407"/>
    <w:rsid w:val="00F73431"/>
    <w:rsid w:val="00F736F7"/>
    <w:rsid w:val="00F73735"/>
    <w:rsid w:val="00F73EAA"/>
    <w:rsid w:val="00F742FF"/>
    <w:rsid w:val="00F7457D"/>
    <w:rsid w:val="00F7465F"/>
    <w:rsid w:val="00F74799"/>
    <w:rsid w:val="00F748CB"/>
    <w:rsid w:val="00F74DC2"/>
    <w:rsid w:val="00F74F31"/>
    <w:rsid w:val="00F7525D"/>
    <w:rsid w:val="00F753BC"/>
    <w:rsid w:val="00F7561E"/>
    <w:rsid w:val="00F75628"/>
    <w:rsid w:val="00F75B5C"/>
    <w:rsid w:val="00F75E6E"/>
    <w:rsid w:val="00F760F8"/>
    <w:rsid w:val="00F76310"/>
    <w:rsid w:val="00F764AB"/>
    <w:rsid w:val="00F7685B"/>
    <w:rsid w:val="00F76AF0"/>
    <w:rsid w:val="00F76DFA"/>
    <w:rsid w:val="00F771C2"/>
    <w:rsid w:val="00F777CF"/>
    <w:rsid w:val="00F77BCE"/>
    <w:rsid w:val="00F77C52"/>
    <w:rsid w:val="00F805FD"/>
    <w:rsid w:val="00F80679"/>
    <w:rsid w:val="00F80C2A"/>
    <w:rsid w:val="00F810FC"/>
    <w:rsid w:val="00F816CA"/>
    <w:rsid w:val="00F81791"/>
    <w:rsid w:val="00F81BCC"/>
    <w:rsid w:val="00F81E67"/>
    <w:rsid w:val="00F8243E"/>
    <w:rsid w:val="00F8282C"/>
    <w:rsid w:val="00F82B0A"/>
    <w:rsid w:val="00F82E4F"/>
    <w:rsid w:val="00F835F4"/>
    <w:rsid w:val="00F83BC0"/>
    <w:rsid w:val="00F84970"/>
    <w:rsid w:val="00F84A68"/>
    <w:rsid w:val="00F84D3E"/>
    <w:rsid w:val="00F85397"/>
    <w:rsid w:val="00F854E2"/>
    <w:rsid w:val="00F85A29"/>
    <w:rsid w:val="00F85D78"/>
    <w:rsid w:val="00F860F1"/>
    <w:rsid w:val="00F86581"/>
    <w:rsid w:val="00F86BBE"/>
    <w:rsid w:val="00F87074"/>
    <w:rsid w:val="00F873BE"/>
    <w:rsid w:val="00F87493"/>
    <w:rsid w:val="00F8791A"/>
    <w:rsid w:val="00F87951"/>
    <w:rsid w:val="00F87A65"/>
    <w:rsid w:val="00F87E18"/>
    <w:rsid w:val="00F90C31"/>
    <w:rsid w:val="00F90EC1"/>
    <w:rsid w:val="00F915A3"/>
    <w:rsid w:val="00F91D29"/>
    <w:rsid w:val="00F921B2"/>
    <w:rsid w:val="00F92220"/>
    <w:rsid w:val="00F92CC5"/>
    <w:rsid w:val="00F92D63"/>
    <w:rsid w:val="00F92E57"/>
    <w:rsid w:val="00F93DE7"/>
    <w:rsid w:val="00F94270"/>
    <w:rsid w:val="00F944C9"/>
    <w:rsid w:val="00F945C3"/>
    <w:rsid w:val="00F946D6"/>
    <w:rsid w:val="00F94B1A"/>
    <w:rsid w:val="00F94FD2"/>
    <w:rsid w:val="00F95655"/>
    <w:rsid w:val="00F95F08"/>
    <w:rsid w:val="00F9657B"/>
    <w:rsid w:val="00F969B2"/>
    <w:rsid w:val="00F96A48"/>
    <w:rsid w:val="00F96B29"/>
    <w:rsid w:val="00F97009"/>
    <w:rsid w:val="00F9705D"/>
    <w:rsid w:val="00F9714C"/>
    <w:rsid w:val="00F97206"/>
    <w:rsid w:val="00F976FF"/>
    <w:rsid w:val="00F97BD7"/>
    <w:rsid w:val="00F97DFC"/>
    <w:rsid w:val="00F97EAE"/>
    <w:rsid w:val="00FA0112"/>
    <w:rsid w:val="00FA0275"/>
    <w:rsid w:val="00FA0509"/>
    <w:rsid w:val="00FA0595"/>
    <w:rsid w:val="00FA0EBC"/>
    <w:rsid w:val="00FA0FBB"/>
    <w:rsid w:val="00FA1390"/>
    <w:rsid w:val="00FA1533"/>
    <w:rsid w:val="00FA16AA"/>
    <w:rsid w:val="00FA1826"/>
    <w:rsid w:val="00FA1A05"/>
    <w:rsid w:val="00FA23F2"/>
    <w:rsid w:val="00FA2ABF"/>
    <w:rsid w:val="00FA2BB4"/>
    <w:rsid w:val="00FA2C39"/>
    <w:rsid w:val="00FA2D2E"/>
    <w:rsid w:val="00FA2DCA"/>
    <w:rsid w:val="00FA3405"/>
    <w:rsid w:val="00FA42CE"/>
    <w:rsid w:val="00FA4337"/>
    <w:rsid w:val="00FA442E"/>
    <w:rsid w:val="00FA450C"/>
    <w:rsid w:val="00FA476A"/>
    <w:rsid w:val="00FA48A8"/>
    <w:rsid w:val="00FA4F51"/>
    <w:rsid w:val="00FA529F"/>
    <w:rsid w:val="00FA55E6"/>
    <w:rsid w:val="00FA56C2"/>
    <w:rsid w:val="00FA5DD5"/>
    <w:rsid w:val="00FA652D"/>
    <w:rsid w:val="00FA68B8"/>
    <w:rsid w:val="00FA6BED"/>
    <w:rsid w:val="00FA6C15"/>
    <w:rsid w:val="00FA6DBF"/>
    <w:rsid w:val="00FA7131"/>
    <w:rsid w:val="00FA7333"/>
    <w:rsid w:val="00FA74C8"/>
    <w:rsid w:val="00FA7DA3"/>
    <w:rsid w:val="00FB002B"/>
    <w:rsid w:val="00FB03DF"/>
    <w:rsid w:val="00FB047A"/>
    <w:rsid w:val="00FB0BC9"/>
    <w:rsid w:val="00FB1217"/>
    <w:rsid w:val="00FB184C"/>
    <w:rsid w:val="00FB1E9C"/>
    <w:rsid w:val="00FB2125"/>
    <w:rsid w:val="00FB2315"/>
    <w:rsid w:val="00FB23B7"/>
    <w:rsid w:val="00FB2A7C"/>
    <w:rsid w:val="00FB2AC7"/>
    <w:rsid w:val="00FB3021"/>
    <w:rsid w:val="00FB39F5"/>
    <w:rsid w:val="00FB3C24"/>
    <w:rsid w:val="00FB4224"/>
    <w:rsid w:val="00FB4382"/>
    <w:rsid w:val="00FB43B8"/>
    <w:rsid w:val="00FB43FD"/>
    <w:rsid w:val="00FB4610"/>
    <w:rsid w:val="00FB4BC7"/>
    <w:rsid w:val="00FB4E03"/>
    <w:rsid w:val="00FB5040"/>
    <w:rsid w:val="00FB597F"/>
    <w:rsid w:val="00FB618F"/>
    <w:rsid w:val="00FB619C"/>
    <w:rsid w:val="00FB651F"/>
    <w:rsid w:val="00FB7220"/>
    <w:rsid w:val="00FB7280"/>
    <w:rsid w:val="00FB742E"/>
    <w:rsid w:val="00FB7D8F"/>
    <w:rsid w:val="00FB7F3A"/>
    <w:rsid w:val="00FC01E0"/>
    <w:rsid w:val="00FC12C4"/>
    <w:rsid w:val="00FC1454"/>
    <w:rsid w:val="00FC1549"/>
    <w:rsid w:val="00FC1A31"/>
    <w:rsid w:val="00FC1D95"/>
    <w:rsid w:val="00FC1F0F"/>
    <w:rsid w:val="00FC2A93"/>
    <w:rsid w:val="00FC2E16"/>
    <w:rsid w:val="00FC3C05"/>
    <w:rsid w:val="00FC40F8"/>
    <w:rsid w:val="00FC48FF"/>
    <w:rsid w:val="00FC4E56"/>
    <w:rsid w:val="00FC519D"/>
    <w:rsid w:val="00FC559B"/>
    <w:rsid w:val="00FC56F2"/>
    <w:rsid w:val="00FC5AA0"/>
    <w:rsid w:val="00FC6097"/>
    <w:rsid w:val="00FC60BE"/>
    <w:rsid w:val="00FC65BF"/>
    <w:rsid w:val="00FC6F2B"/>
    <w:rsid w:val="00FC7CC2"/>
    <w:rsid w:val="00FD0197"/>
    <w:rsid w:val="00FD0239"/>
    <w:rsid w:val="00FD0288"/>
    <w:rsid w:val="00FD04C8"/>
    <w:rsid w:val="00FD0659"/>
    <w:rsid w:val="00FD0E30"/>
    <w:rsid w:val="00FD140B"/>
    <w:rsid w:val="00FD1450"/>
    <w:rsid w:val="00FD188C"/>
    <w:rsid w:val="00FD1E6A"/>
    <w:rsid w:val="00FD235C"/>
    <w:rsid w:val="00FD2743"/>
    <w:rsid w:val="00FD2A76"/>
    <w:rsid w:val="00FD2B4F"/>
    <w:rsid w:val="00FD3414"/>
    <w:rsid w:val="00FD36BC"/>
    <w:rsid w:val="00FD414C"/>
    <w:rsid w:val="00FD423B"/>
    <w:rsid w:val="00FD4395"/>
    <w:rsid w:val="00FD441E"/>
    <w:rsid w:val="00FD4A4B"/>
    <w:rsid w:val="00FD4C57"/>
    <w:rsid w:val="00FD4E3F"/>
    <w:rsid w:val="00FD4F72"/>
    <w:rsid w:val="00FD5264"/>
    <w:rsid w:val="00FD54EF"/>
    <w:rsid w:val="00FD56D4"/>
    <w:rsid w:val="00FD5CFF"/>
    <w:rsid w:val="00FD616E"/>
    <w:rsid w:val="00FD663E"/>
    <w:rsid w:val="00FD66F0"/>
    <w:rsid w:val="00FD6BB4"/>
    <w:rsid w:val="00FD6C51"/>
    <w:rsid w:val="00FD6E26"/>
    <w:rsid w:val="00FD73D7"/>
    <w:rsid w:val="00FD76DD"/>
    <w:rsid w:val="00FD77F7"/>
    <w:rsid w:val="00FD798C"/>
    <w:rsid w:val="00FD7B72"/>
    <w:rsid w:val="00FE0A23"/>
    <w:rsid w:val="00FE0B47"/>
    <w:rsid w:val="00FE0E41"/>
    <w:rsid w:val="00FE0E53"/>
    <w:rsid w:val="00FE1456"/>
    <w:rsid w:val="00FE1473"/>
    <w:rsid w:val="00FE16F8"/>
    <w:rsid w:val="00FE1B59"/>
    <w:rsid w:val="00FE1FB0"/>
    <w:rsid w:val="00FE20C1"/>
    <w:rsid w:val="00FE22BB"/>
    <w:rsid w:val="00FE2961"/>
    <w:rsid w:val="00FE3389"/>
    <w:rsid w:val="00FE384E"/>
    <w:rsid w:val="00FE3A2E"/>
    <w:rsid w:val="00FE3A97"/>
    <w:rsid w:val="00FE41BB"/>
    <w:rsid w:val="00FE46F6"/>
    <w:rsid w:val="00FE48F6"/>
    <w:rsid w:val="00FE4EB7"/>
    <w:rsid w:val="00FE59E7"/>
    <w:rsid w:val="00FE5A00"/>
    <w:rsid w:val="00FE5E3E"/>
    <w:rsid w:val="00FE60AB"/>
    <w:rsid w:val="00FE6C2A"/>
    <w:rsid w:val="00FE6D65"/>
    <w:rsid w:val="00FF01A8"/>
    <w:rsid w:val="00FF02B6"/>
    <w:rsid w:val="00FF0388"/>
    <w:rsid w:val="00FF04D3"/>
    <w:rsid w:val="00FF06F4"/>
    <w:rsid w:val="00FF0A62"/>
    <w:rsid w:val="00FF0BFF"/>
    <w:rsid w:val="00FF1110"/>
    <w:rsid w:val="00FF11A9"/>
    <w:rsid w:val="00FF11C1"/>
    <w:rsid w:val="00FF1A7F"/>
    <w:rsid w:val="00FF1AB2"/>
    <w:rsid w:val="00FF25EE"/>
    <w:rsid w:val="00FF2C88"/>
    <w:rsid w:val="00FF2F81"/>
    <w:rsid w:val="00FF2FF9"/>
    <w:rsid w:val="00FF3222"/>
    <w:rsid w:val="00FF362B"/>
    <w:rsid w:val="00FF37ED"/>
    <w:rsid w:val="00FF380F"/>
    <w:rsid w:val="00FF39C1"/>
    <w:rsid w:val="00FF3B06"/>
    <w:rsid w:val="00FF3CAE"/>
    <w:rsid w:val="00FF40EE"/>
    <w:rsid w:val="00FF4534"/>
    <w:rsid w:val="00FF4666"/>
    <w:rsid w:val="00FF4699"/>
    <w:rsid w:val="00FF53CF"/>
    <w:rsid w:val="00FF57DC"/>
    <w:rsid w:val="00FF5889"/>
    <w:rsid w:val="00FF5FD1"/>
    <w:rsid w:val="00FF69D6"/>
    <w:rsid w:val="00FF6F3F"/>
    <w:rsid w:val="00FF785A"/>
    <w:rsid w:val="00FF788E"/>
    <w:rsid w:val="00FF789A"/>
    <w:rsid w:val="00FF7D31"/>
    <w:rsid w:val="00FF7EA7"/>
    <w:rsid w:val="01C744FB"/>
    <w:rsid w:val="01D729BC"/>
    <w:rsid w:val="03047A3D"/>
    <w:rsid w:val="043A02F1"/>
    <w:rsid w:val="046B2645"/>
    <w:rsid w:val="04834BDB"/>
    <w:rsid w:val="04BB57D2"/>
    <w:rsid w:val="05A32534"/>
    <w:rsid w:val="05DE2C21"/>
    <w:rsid w:val="05F23168"/>
    <w:rsid w:val="05F422CE"/>
    <w:rsid w:val="064707DC"/>
    <w:rsid w:val="06CF1E14"/>
    <w:rsid w:val="0792330B"/>
    <w:rsid w:val="07B43F9D"/>
    <w:rsid w:val="07E90408"/>
    <w:rsid w:val="08DE02B0"/>
    <w:rsid w:val="0934011A"/>
    <w:rsid w:val="0967065C"/>
    <w:rsid w:val="09A34B25"/>
    <w:rsid w:val="09A94910"/>
    <w:rsid w:val="0C071F6A"/>
    <w:rsid w:val="0C2B399A"/>
    <w:rsid w:val="0C327D88"/>
    <w:rsid w:val="0C7532D8"/>
    <w:rsid w:val="0C9D57BC"/>
    <w:rsid w:val="0D3E4D30"/>
    <w:rsid w:val="0D673377"/>
    <w:rsid w:val="0DB55885"/>
    <w:rsid w:val="0F2620B9"/>
    <w:rsid w:val="0F782BBE"/>
    <w:rsid w:val="1093654A"/>
    <w:rsid w:val="122F73E9"/>
    <w:rsid w:val="1291349B"/>
    <w:rsid w:val="12DF400C"/>
    <w:rsid w:val="13CB16BA"/>
    <w:rsid w:val="13D66C2F"/>
    <w:rsid w:val="13E6764F"/>
    <w:rsid w:val="140245BA"/>
    <w:rsid w:val="14262E9B"/>
    <w:rsid w:val="14567C3B"/>
    <w:rsid w:val="14884DE5"/>
    <w:rsid w:val="15500779"/>
    <w:rsid w:val="15B337F0"/>
    <w:rsid w:val="162A19EE"/>
    <w:rsid w:val="16575450"/>
    <w:rsid w:val="17D34B0F"/>
    <w:rsid w:val="183876B2"/>
    <w:rsid w:val="18543472"/>
    <w:rsid w:val="188411C6"/>
    <w:rsid w:val="189C1DD2"/>
    <w:rsid w:val="190A5713"/>
    <w:rsid w:val="19D20427"/>
    <w:rsid w:val="19F6441B"/>
    <w:rsid w:val="1A6E2D5A"/>
    <w:rsid w:val="1A7C483B"/>
    <w:rsid w:val="1A7F0EDB"/>
    <w:rsid w:val="1B151E3B"/>
    <w:rsid w:val="1B6426B6"/>
    <w:rsid w:val="1B735206"/>
    <w:rsid w:val="1BB96B0B"/>
    <w:rsid w:val="1C26410A"/>
    <w:rsid w:val="1C7D6F13"/>
    <w:rsid w:val="1CCB3B6B"/>
    <w:rsid w:val="1D5F4744"/>
    <w:rsid w:val="1D6A546A"/>
    <w:rsid w:val="1D903ED1"/>
    <w:rsid w:val="1DA158BF"/>
    <w:rsid w:val="1DAF4382"/>
    <w:rsid w:val="1DC110DE"/>
    <w:rsid w:val="1E0E0281"/>
    <w:rsid w:val="1E517101"/>
    <w:rsid w:val="1E844661"/>
    <w:rsid w:val="1F0D583C"/>
    <w:rsid w:val="1F3C3042"/>
    <w:rsid w:val="1F8406B2"/>
    <w:rsid w:val="1FE13F2A"/>
    <w:rsid w:val="20041E1F"/>
    <w:rsid w:val="20177E05"/>
    <w:rsid w:val="202408C8"/>
    <w:rsid w:val="20543C29"/>
    <w:rsid w:val="20731E4B"/>
    <w:rsid w:val="20A87EF5"/>
    <w:rsid w:val="20E25803"/>
    <w:rsid w:val="21290529"/>
    <w:rsid w:val="21627CA0"/>
    <w:rsid w:val="216864BD"/>
    <w:rsid w:val="21931A8D"/>
    <w:rsid w:val="23B70952"/>
    <w:rsid w:val="24482303"/>
    <w:rsid w:val="24752F7A"/>
    <w:rsid w:val="2499116A"/>
    <w:rsid w:val="24B01FB8"/>
    <w:rsid w:val="254F474C"/>
    <w:rsid w:val="259E3E4E"/>
    <w:rsid w:val="26032A37"/>
    <w:rsid w:val="27544493"/>
    <w:rsid w:val="27837F3C"/>
    <w:rsid w:val="27D520BB"/>
    <w:rsid w:val="28850690"/>
    <w:rsid w:val="288F2237"/>
    <w:rsid w:val="29342737"/>
    <w:rsid w:val="294431D2"/>
    <w:rsid w:val="29B73C7D"/>
    <w:rsid w:val="29CB5955"/>
    <w:rsid w:val="2ACD6DE1"/>
    <w:rsid w:val="2AD82E5B"/>
    <w:rsid w:val="2B11316A"/>
    <w:rsid w:val="2B3227F6"/>
    <w:rsid w:val="2B8F662E"/>
    <w:rsid w:val="2C0F2687"/>
    <w:rsid w:val="2C666A32"/>
    <w:rsid w:val="2C9B143C"/>
    <w:rsid w:val="2CE470CE"/>
    <w:rsid w:val="2CE809F6"/>
    <w:rsid w:val="2CFD0D44"/>
    <w:rsid w:val="2CFE553E"/>
    <w:rsid w:val="2D013765"/>
    <w:rsid w:val="2D4A40D0"/>
    <w:rsid w:val="2D944A0E"/>
    <w:rsid w:val="2DBE3B18"/>
    <w:rsid w:val="2E0332DC"/>
    <w:rsid w:val="2E195826"/>
    <w:rsid w:val="2ECB1FD9"/>
    <w:rsid w:val="2F037766"/>
    <w:rsid w:val="2F582810"/>
    <w:rsid w:val="2F685DDF"/>
    <w:rsid w:val="30FB582D"/>
    <w:rsid w:val="31076247"/>
    <w:rsid w:val="318C16A1"/>
    <w:rsid w:val="31F85EE4"/>
    <w:rsid w:val="32542AEE"/>
    <w:rsid w:val="330841C6"/>
    <w:rsid w:val="33853A31"/>
    <w:rsid w:val="34103577"/>
    <w:rsid w:val="3473581A"/>
    <w:rsid w:val="34846D36"/>
    <w:rsid w:val="350C361A"/>
    <w:rsid w:val="357D5D02"/>
    <w:rsid w:val="35C3090F"/>
    <w:rsid w:val="35D54EBF"/>
    <w:rsid w:val="360040A7"/>
    <w:rsid w:val="364812B2"/>
    <w:rsid w:val="36AF4FC1"/>
    <w:rsid w:val="37AB7213"/>
    <w:rsid w:val="37CA386F"/>
    <w:rsid w:val="387F6235"/>
    <w:rsid w:val="389C00F5"/>
    <w:rsid w:val="38B82F9B"/>
    <w:rsid w:val="38FB4BE4"/>
    <w:rsid w:val="39104BFE"/>
    <w:rsid w:val="396F3CF7"/>
    <w:rsid w:val="3ABD0407"/>
    <w:rsid w:val="3AD5422E"/>
    <w:rsid w:val="3B214BA5"/>
    <w:rsid w:val="3B2A482B"/>
    <w:rsid w:val="3B4029C5"/>
    <w:rsid w:val="3B833F23"/>
    <w:rsid w:val="3D1E6BC1"/>
    <w:rsid w:val="3D7A4A98"/>
    <w:rsid w:val="3DAA2374"/>
    <w:rsid w:val="3DFB59FA"/>
    <w:rsid w:val="3E6068E3"/>
    <w:rsid w:val="3E9139F5"/>
    <w:rsid w:val="3EA220B7"/>
    <w:rsid w:val="3ED15DE8"/>
    <w:rsid w:val="3ED65B06"/>
    <w:rsid w:val="3EF63EA7"/>
    <w:rsid w:val="3FAE3509"/>
    <w:rsid w:val="3FB82CF1"/>
    <w:rsid w:val="3FFF70FD"/>
    <w:rsid w:val="40D47A68"/>
    <w:rsid w:val="414C3D8F"/>
    <w:rsid w:val="41E54E2D"/>
    <w:rsid w:val="4204145F"/>
    <w:rsid w:val="424A6CBB"/>
    <w:rsid w:val="425E7A41"/>
    <w:rsid w:val="42997C83"/>
    <w:rsid w:val="42D4312C"/>
    <w:rsid w:val="42FC58F3"/>
    <w:rsid w:val="433B59DD"/>
    <w:rsid w:val="4368360B"/>
    <w:rsid w:val="436F6500"/>
    <w:rsid w:val="439632AB"/>
    <w:rsid w:val="43AB6F92"/>
    <w:rsid w:val="442944F4"/>
    <w:rsid w:val="44D35D7A"/>
    <w:rsid w:val="45685A40"/>
    <w:rsid w:val="45DD77E0"/>
    <w:rsid w:val="46ED2D97"/>
    <w:rsid w:val="47561424"/>
    <w:rsid w:val="475C2739"/>
    <w:rsid w:val="477A01E7"/>
    <w:rsid w:val="48082EDE"/>
    <w:rsid w:val="486243BD"/>
    <w:rsid w:val="49645EA4"/>
    <w:rsid w:val="49BD07AB"/>
    <w:rsid w:val="49C3027E"/>
    <w:rsid w:val="49F31058"/>
    <w:rsid w:val="4A0D4587"/>
    <w:rsid w:val="4A4E157F"/>
    <w:rsid w:val="4AB9580A"/>
    <w:rsid w:val="4AFB7766"/>
    <w:rsid w:val="4B803FF2"/>
    <w:rsid w:val="4B88324B"/>
    <w:rsid w:val="4B9F3E1E"/>
    <w:rsid w:val="4C0717FA"/>
    <w:rsid w:val="4C373750"/>
    <w:rsid w:val="4C4A4F89"/>
    <w:rsid w:val="4C997D33"/>
    <w:rsid w:val="4D933ABC"/>
    <w:rsid w:val="4E53712E"/>
    <w:rsid w:val="4EB35B1E"/>
    <w:rsid w:val="4EEC5633"/>
    <w:rsid w:val="4F006DDE"/>
    <w:rsid w:val="50614EFA"/>
    <w:rsid w:val="507E0D7E"/>
    <w:rsid w:val="50B44CB7"/>
    <w:rsid w:val="512305E9"/>
    <w:rsid w:val="514679CE"/>
    <w:rsid w:val="516E3AF7"/>
    <w:rsid w:val="519A79F1"/>
    <w:rsid w:val="52300073"/>
    <w:rsid w:val="52930B4C"/>
    <w:rsid w:val="52C051D0"/>
    <w:rsid w:val="52DB441E"/>
    <w:rsid w:val="53653043"/>
    <w:rsid w:val="53F10DC5"/>
    <w:rsid w:val="545B61E1"/>
    <w:rsid w:val="551D6DF3"/>
    <w:rsid w:val="556A5E94"/>
    <w:rsid w:val="55C03A36"/>
    <w:rsid w:val="56D36288"/>
    <w:rsid w:val="5732471A"/>
    <w:rsid w:val="57935F52"/>
    <w:rsid w:val="58090EFA"/>
    <w:rsid w:val="59940BF4"/>
    <w:rsid w:val="5A7A4BA2"/>
    <w:rsid w:val="5AB42F95"/>
    <w:rsid w:val="5AD969C9"/>
    <w:rsid w:val="5B38308B"/>
    <w:rsid w:val="5B5248A7"/>
    <w:rsid w:val="5B626577"/>
    <w:rsid w:val="5BD27DC0"/>
    <w:rsid w:val="5C512F00"/>
    <w:rsid w:val="5C5D6D31"/>
    <w:rsid w:val="5CDF5921"/>
    <w:rsid w:val="5D56254B"/>
    <w:rsid w:val="5DC57BAA"/>
    <w:rsid w:val="5DFF134F"/>
    <w:rsid w:val="5E6C1828"/>
    <w:rsid w:val="5F2130CD"/>
    <w:rsid w:val="5F3F14EC"/>
    <w:rsid w:val="5F404798"/>
    <w:rsid w:val="5FB7531F"/>
    <w:rsid w:val="6077218F"/>
    <w:rsid w:val="612C4732"/>
    <w:rsid w:val="617C7E1F"/>
    <w:rsid w:val="618F6342"/>
    <w:rsid w:val="6212205B"/>
    <w:rsid w:val="62314C4A"/>
    <w:rsid w:val="628D4A6B"/>
    <w:rsid w:val="62AF0536"/>
    <w:rsid w:val="62B5601A"/>
    <w:rsid w:val="62D3210C"/>
    <w:rsid w:val="632B3E3B"/>
    <w:rsid w:val="64483A8D"/>
    <w:rsid w:val="64496497"/>
    <w:rsid w:val="64572FB3"/>
    <w:rsid w:val="64E92578"/>
    <w:rsid w:val="656E53B8"/>
    <w:rsid w:val="65F968B3"/>
    <w:rsid w:val="66A24510"/>
    <w:rsid w:val="66A56139"/>
    <w:rsid w:val="670138D6"/>
    <w:rsid w:val="676A6D8E"/>
    <w:rsid w:val="68E513C7"/>
    <w:rsid w:val="698605AD"/>
    <w:rsid w:val="69CE55F1"/>
    <w:rsid w:val="6A5035FF"/>
    <w:rsid w:val="6B1C39A5"/>
    <w:rsid w:val="6B1F73A6"/>
    <w:rsid w:val="6B5E1DC2"/>
    <w:rsid w:val="6BDC6647"/>
    <w:rsid w:val="6BE50A7F"/>
    <w:rsid w:val="6BF45641"/>
    <w:rsid w:val="6C0744E5"/>
    <w:rsid w:val="6CA22154"/>
    <w:rsid w:val="6CC243FB"/>
    <w:rsid w:val="6D2B2741"/>
    <w:rsid w:val="6DC70AEA"/>
    <w:rsid w:val="6E09067B"/>
    <w:rsid w:val="6E46330A"/>
    <w:rsid w:val="6E9F158A"/>
    <w:rsid w:val="6FD91A93"/>
    <w:rsid w:val="70215920"/>
    <w:rsid w:val="70696FE2"/>
    <w:rsid w:val="70BD76D8"/>
    <w:rsid w:val="71432F65"/>
    <w:rsid w:val="715158E7"/>
    <w:rsid w:val="71A710AE"/>
    <w:rsid w:val="720C59BF"/>
    <w:rsid w:val="724F1E75"/>
    <w:rsid w:val="728551CE"/>
    <w:rsid w:val="72AF6454"/>
    <w:rsid w:val="7338362D"/>
    <w:rsid w:val="73674D66"/>
    <w:rsid w:val="74696ABF"/>
    <w:rsid w:val="74F360F8"/>
    <w:rsid w:val="75753CAB"/>
    <w:rsid w:val="75E256E2"/>
    <w:rsid w:val="76312623"/>
    <w:rsid w:val="770F128B"/>
    <w:rsid w:val="776677F4"/>
    <w:rsid w:val="778D675C"/>
    <w:rsid w:val="77F57277"/>
    <w:rsid w:val="789833E9"/>
    <w:rsid w:val="78E64141"/>
    <w:rsid w:val="79560443"/>
    <w:rsid w:val="796340B4"/>
    <w:rsid w:val="79A45728"/>
    <w:rsid w:val="79B0711C"/>
    <w:rsid w:val="79C84F85"/>
    <w:rsid w:val="7AB83CCD"/>
    <w:rsid w:val="7ABA3EDB"/>
    <w:rsid w:val="7C221F5E"/>
    <w:rsid w:val="7C662638"/>
    <w:rsid w:val="7D427CBF"/>
    <w:rsid w:val="7D912F38"/>
    <w:rsid w:val="7DCD2E99"/>
    <w:rsid w:val="7DE03016"/>
    <w:rsid w:val="7DF324DD"/>
    <w:rsid w:val="7DF4538C"/>
    <w:rsid w:val="7E595CD2"/>
    <w:rsid w:val="7E6B1533"/>
    <w:rsid w:val="7EC84E35"/>
    <w:rsid w:val="7F163E16"/>
    <w:rsid w:val="7FA02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name="toc 2"/>
    <w:lsdException w:unhideWhenUsed="0" w:uiPriority="0" w:semiHidden="0" w:name="toc 3"/>
    <w:lsdException w:qFormat="1" w:unhideWhenUsed="0" w:uiPriority="0" w:name="toc 4"/>
    <w:lsdException w:qFormat="1" w:unhideWhenUsed="0" w:uiPriority="0" w:name="toc 5"/>
    <w:lsdException w:qFormat="1" w:unhideWhenUsed="0" w:uiPriority="0" w:name="toc 6"/>
    <w:lsdException w:qFormat="1" w:unhideWhenUsed="0" w:uiPriority="0" w:semiHidden="0" w:name="toc 7"/>
    <w:lsdException w:qFormat="1" w:unhideWhenUsed="0" w:uiPriority="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6"/>
    <w:qFormat/>
    <w:uiPriority w:val="0"/>
    <w:pPr>
      <w:adjustRightInd w:val="0"/>
      <w:spacing w:before="60" w:after="40" w:line="288" w:lineRule="auto"/>
      <w:textAlignment w:val="baseline"/>
      <w:outlineLvl w:val="3"/>
    </w:pPr>
    <w:rPr>
      <w:kern w:val="0"/>
      <w:sz w:val="28"/>
      <w:szCs w:val="28"/>
    </w:rPr>
  </w:style>
  <w:style w:type="paragraph" w:styleId="7">
    <w:name w:val="heading 5"/>
    <w:basedOn w:val="1"/>
    <w:next w:val="6"/>
    <w:qFormat/>
    <w:uiPriority w:val="0"/>
    <w:pPr>
      <w:adjustRightInd w:val="0"/>
      <w:spacing w:before="40" w:after="20" w:line="288" w:lineRule="auto"/>
      <w:textAlignment w:val="baseline"/>
      <w:outlineLvl w:val="4"/>
    </w:pPr>
    <w:rPr>
      <w:kern w:val="0"/>
      <w:sz w:val="28"/>
      <w:szCs w:val="28"/>
    </w:rPr>
  </w:style>
  <w:style w:type="paragraph" w:styleId="8">
    <w:name w:val="heading 6"/>
    <w:basedOn w:val="1"/>
    <w:next w:val="6"/>
    <w:qFormat/>
    <w:uiPriority w:val="0"/>
    <w:pPr>
      <w:keepNext/>
      <w:keepLines/>
      <w:adjustRightInd w:val="0"/>
      <w:spacing w:before="240" w:after="64" w:line="320" w:lineRule="auto"/>
      <w:textAlignment w:val="baseline"/>
      <w:outlineLvl w:val="5"/>
    </w:pPr>
    <w:rPr>
      <w:rFonts w:ascii="Arial" w:hAnsi="Arial" w:eastAsia="黑体"/>
      <w:b/>
      <w:bCs/>
      <w:kern w:val="0"/>
      <w:sz w:val="24"/>
    </w:rPr>
  </w:style>
  <w:style w:type="paragraph" w:styleId="9">
    <w:name w:val="heading 7"/>
    <w:basedOn w:val="1"/>
    <w:next w:val="6"/>
    <w:qFormat/>
    <w:uiPriority w:val="0"/>
    <w:pPr>
      <w:keepNext/>
      <w:keepLines/>
      <w:adjustRightInd w:val="0"/>
      <w:spacing w:before="240" w:after="64" w:line="320" w:lineRule="auto"/>
      <w:textAlignment w:val="baseline"/>
      <w:outlineLvl w:val="6"/>
    </w:pPr>
    <w:rPr>
      <w:rFonts w:ascii="宋体"/>
      <w:b/>
      <w:bCs/>
      <w:kern w:val="0"/>
      <w:sz w:val="24"/>
    </w:rPr>
  </w:style>
  <w:style w:type="paragraph" w:styleId="10">
    <w:name w:val="heading 8"/>
    <w:basedOn w:val="1"/>
    <w:next w:val="6"/>
    <w:qFormat/>
    <w:uiPriority w:val="0"/>
    <w:pPr>
      <w:keepNext/>
      <w:keepLines/>
      <w:adjustRightInd w:val="0"/>
      <w:spacing w:before="240" w:after="64" w:line="320" w:lineRule="auto"/>
      <w:textAlignment w:val="baseline"/>
      <w:outlineLvl w:val="7"/>
    </w:pPr>
    <w:rPr>
      <w:rFonts w:ascii="Arial" w:hAnsi="Arial" w:eastAsia="黑体"/>
      <w:kern w:val="0"/>
      <w:sz w:val="24"/>
    </w:rPr>
  </w:style>
  <w:style w:type="paragraph" w:styleId="11">
    <w:name w:val="heading 9"/>
    <w:basedOn w:val="1"/>
    <w:next w:val="6"/>
    <w:qFormat/>
    <w:uiPriority w:val="0"/>
    <w:pPr>
      <w:keepNext/>
      <w:keepLines/>
      <w:adjustRightInd w:val="0"/>
      <w:spacing w:before="240" w:after="64" w:line="320" w:lineRule="auto"/>
      <w:textAlignment w:val="baseline"/>
      <w:outlineLvl w:val="8"/>
    </w:pPr>
    <w:rPr>
      <w:rFonts w:ascii="Arial" w:hAnsi="Arial" w:eastAsia="黑体"/>
      <w:kern w:val="0"/>
      <w:szCs w:val="21"/>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snapToGrid w:val="0"/>
      <w:spacing w:line="360" w:lineRule="auto"/>
      <w:ind w:firstLine="420"/>
    </w:pPr>
    <w:rPr>
      <w:sz w:val="28"/>
      <w:szCs w:val="20"/>
    </w:rPr>
  </w:style>
  <w:style w:type="paragraph" w:styleId="12">
    <w:name w:val="toc 7"/>
    <w:basedOn w:val="1"/>
    <w:next w:val="1"/>
    <w:qFormat/>
    <w:uiPriority w:val="0"/>
    <w:pPr>
      <w:ind w:left="2520" w:leftChars="1200"/>
    </w:pPr>
  </w:style>
  <w:style w:type="paragraph" w:styleId="13">
    <w:name w:val="Document Map"/>
    <w:basedOn w:val="1"/>
    <w:qFormat/>
    <w:uiPriority w:val="0"/>
    <w:pPr>
      <w:shd w:val="clear" w:color="auto" w:fill="000080"/>
    </w:pPr>
  </w:style>
  <w:style w:type="paragraph" w:styleId="14">
    <w:name w:val="annotation text"/>
    <w:basedOn w:val="1"/>
    <w:link w:val="47"/>
    <w:qFormat/>
    <w:uiPriority w:val="0"/>
    <w:pPr>
      <w:jc w:val="left"/>
    </w:pPr>
  </w:style>
  <w:style w:type="paragraph" w:styleId="15">
    <w:name w:val="Body Text"/>
    <w:basedOn w:val="1"/>
    <w:qFormat/>
    <w:uiPriority w:val="0"/>
    <w:rPr>
      <w:sz w:val="24"/>
    </w:rPr>
  </w:style>
  <w:style w:type="paragraph" w:styleId="16">
    <w:name w:val="Body Text Indent"/>
    <w:basedOn w:val="1"/>
    <w:qFormat/>
    <w:uiPriority w:val="0"/>
    <w:pPr>
      <w:spacing w:line="400" w:lineRule="exact"/>
      <w:ind w:firstLine="538" w:firstLineChars="192"/>
    </w:pPr>
    <w:rPr>
      <w:rFonts w:ascii="仿宋_GB2312" w:hAnsi="宋体" w:eastAsia="仿宋_GB2312"/>
      <w:color w:val="000000"/>
      <w:sz w:val="28"/>
    </w:rPr>
  </w:style>
  <w:style w:type="paragraph" w:styleId="17">
    <w:name w:val="toc 5"/>
    <w:basedOn w:val="1"/>
    <w:next w:val="1"/>
    <w:semiHidden/>
    <w:qFormat/>
    <w:uiPriority w:val="0"/>
    <w:pPr>
      <w:ind w:left="1680" w:leftChars="800"/>
    </w:pPr>
  </w:style>
  <w:style w:type="paragraph" w:styleId="18">
    <w:name w:val="Plain Text"/>
    <w:basedOn w:val="1"/>
    <w:link w:val="45"/>
    <w:qFormat/>
    <w:uiPriority w:val="0"/>
    <w:rPr>
      <w:rFonts w:ascii="宋体" w:hAnsi="Courier New"/>
      <w:szCs w:val="21"/>
    </w:rPr>
  </w:style>
  <w:style w:type="paragraph" w:styleId="19">
    <w:name w:val="toc 8"/>
    <w:basedOn w:val="1"/>
    <w:next w:val="1"/>
    <w:semiHidden/>
    <w:qFormat/>
    <w:uiPriority w:val="0"/>
    <w:pPr>
      <w:ind w:left="2940" w:leftChars="1400"/>
    </w:pPr>
  </w:style>
  <w:style w:type="paragraph" w:styleId="20">
    <w:name w:val="Date"/>
    <w:basedOn w:val="1"/>
    <w:next w:val="1"/>
    <w:qFormat/>
    <w:uiPriority w:val="0"/>
    <w:pPr>
      <w:ind w:left="100" w:leftChars="2500"/>
    </w:pPr>
  </w:style>
  <w:style w:type="paragraph" w:styleId="21">
    <w:name w:val="Body Text Indent 2"/>
    <w:basedOn w:val="1"/>
    <w:link w:val="49"/>
    <w:qFormat/>
    <w:uiPriority w:val="0"/>
    <w:pPr>
      <w:spacing w:line="360" w:lineRule="auto"/>
      <w:ind w:firstLine="420" w:firstLineChars="200"/>
    </w:pPr>
    <w:rPr>
      <w:rFonts w:ascii="宋体" w:hAnsi="宋体"/>
      <w:szCs w:val="20"/>
    </w:rPr>
  </w:style>
  <w:style w:type="paragraph" w:styleId="22">
    <w:name w:val="Balloon Text"/>
    <w:basedOn w:val="1"/>
    <w:link w:val="58"/>
    <w:semiHidden/>
    <w:qFormat/>
    <w:uiPriority w:val="99"/>
    <w:rPr>
      <w:sz w:val="18"/>
      <w:szCs w:val="18"/>
    </w:rPr>
  </w:style>
  <w:style w:type="paragraph" w:styleId="23">
    <w:name w:val="footer"/>
    <w:basedOn w:val="1"/>
    <w:link w:val="59"/>
    <w:qFormat/>
    <w:uiPriority w:val="99"/>
    <w:pPr>
      <w:tabs>
        <w:tab w:val="center" w:pos="4153"/>
        <w:tab w:val="right" w:pos="8306"/>
      </w:tabs>
      <w:snapToGrid w:val="0"/>
      <w:jc w:val="left"/>
    </w:pPr>
    <w:rPr>
      <w:sz w:val="18"/>
      <w:szCs w:val="18"/>
    </w:rPr>
  </w:style>
  <w:style w:type="paragraph" w:styleId="24">
    <w:name w:val="header"/>
    <w:basedOn w:val="1"/>
    <w:link w:val="53"/>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8296"/>
      </w:tabs>
      <w:spacing w:line="360" w:lineRule="auto"/>
    </w:pPr>
    <w:rPr>
      <w:rFonts w:hAnsi="宋体" w:cs="Arial"/>
      <w:b/>
      <w:kern w:val="0"/>
    </w:rPr>
  </w:style>
  <w:style w:type="paragraph" w:styleId="26">
    <w:name w:val="toc 4"/>
    <w:basedOn w:val="1"/>
    <w:next w:val="1"/>
    <w:semiHidden/>
    <w:qFormat/>
    <w:uiPriority w:val="0"/>
    <w:pPr>
      <w:ind w:left="1260" w:leftChars="600"/>
    </w:pPr>
  </w:style>
  <w:style w:type="paragraph" w:styleId="27">
    <w:name w:val="Subtitle"/>
    <w:basedOn w:val="1"/>
    <w:next w:val="1"/>
    <w:link w:val="106"/>
    <w:qFormat/>
    <w:uiPriority w:val="0"/>
    <w:pPr>
      <w:spacing w:before="240" w:after="60" w:line="312" w:lineRule="auto"/>
      <w:jc w:val="center"/>
      <w:outlineLvl w:val="1"/>
    </w:pPr>
    <w:rPr>
      <w:rFonts w:ascii="Calibri Light" w:hAnsi="Calibri Light"/>
      <w:b/>
      <w:bCs/>
      <w:kern w:val="28"/>
      <w:sz w:val="32"/>
      <w:szCs w:val="32"/>
    </w:rPr>
  </w:style>
  <w:style w:type="paragraph" w:styleId="28">
    <w:name w:val="toc 6"/>
    <w:basedOn w:val="1"/>
    <w:next w:val="1"/>
    <w:semiHidden/>
    <w:qFormat/>
    <w:uiPriority w:val="0"/>
    <w:pPr>
      <w:ind w:left="2100" w:leftChars="1000"/>
    </w:pPr>
  </w:style>
  <w:style w:type="paragraph" w:styleId="29">
    <w:name w:val="Body Text Indent 3"/>
    <w:basedOn w:val="1"/>
    <w:qFormat/>
    <w:uiPriority w:val="0"/>
    <w:pPr>
      <w:spacing w:after="120"/>
      <w:ind w:left="420" w:leftChars="200"/>
    </w:pPr>
    <w:rPr>
      <w:sz w:val="16"/>
      <w:szCs w:val="16"/>
    </w:rPr>
  </w:style>
  <w:style w:type="paragraph" w:styleId="30">
    <w:name w:val="toc 2"/>
    <w:basedOn w:val="1"/>
    <w:next w:val="1"/>
    <w:semiHidden/>
    <w:qFormat/>
    <w:uiPriority w:val="0"/>
    <w:pPr>
      <w:ind w:left="420" w:leftChars="200"/>
    </w:pPr>
  </w:style>
  <w:style w:type="paragraph" w:styleId="31">
    <w:name w:val="Body Text 2"/>
    <w:basedOn w:val="1"/>
    <w:qFormat/>
    <w:uiPriority w:val="0"/>
    <w:pPr>
      <w:jc w:val="center"/>
    </w:pPr>
    <w:rPr>
      <w:sz w:val="24"/>
    </w:rPr>
  </w:style>
  <w:style w:type="paragraph" w:styleId="32">
    <w:name w:val="HTML Preformatted"/>
    <w:basedOn w:val="1"/>
    <w:link w:val="5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szCs w:val="20"/>
    </w:rPr>
  </w:style>
  <w:style w:type="paragraph" w:styleId="33">
    <w:name w:val="Normal (Web)"/>
    <w:basedOn w:val="1"/>
    <w:qFormat/>
    <w:uiPriority w:val="99"/>
    <w:pPr>
      <w:widowControl/>
      <w:spacing w:before="100" w:beforeAutospacing="1" w:after="100" w:afterAutospacing="1"/>
      <w:ind w:firstLine="400"/>
      <w:jc w:val="left"/>
    </w:pPr>
    <w:rPr>
      <w:kern w:val="0"/>
      <w:sz w:val="18"/>
      <w:szCs w:val="18"/>
    </w:rPr>
  </w:style>
  <w:style w:type="paragraph" w:styleId="34">
    <w:name w:val="annotation subject"/>
    <w:basedOn w:val="14"/>
    <w:next w:val="14"/>
    <w:semiHidden/>
    <w:qFormat/>
    <w:uiPriority w:val="0"/>
    <w:rPr>
      <w:b/>
      <w:bCs/>
    </w:r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0"/>
    <w:rPr>
      <w:b/>
      <w:bCs/>
    </w:rPr>
  </w:style>
  <w:style w:type="character" w:styleId="39">
    <w:name w:val="page number"/>
    <w:basedOn w:val="37"/>
    <w:qFormat/>
    <w:uiPriority w:val="0"/>
  </w:style>
  <w:style w:type="character" w:styleId="40">
    <w:name w:val="FollowedHyperlink"/>
    <w:qFormat/>
    <w:uiPriority w:val="0"/>
    <w:rPr>
      <w:color w:val="800080"/>
      <w:u w:val="single"/>
    </w:rPr>
  </w:style>
  <w:style w:type="character" w:styleId="41">
    <w:name w:val="HTML Typewriter"/>
    <w:qFormat/>
    <w:uiPriority w:val="0"/>
    <w:rPr>
      <w:rFonts w:ascii="Arial Unicode MS" w:hAnsi="Arial Unicode MS" w:eastAsia="Courier New" w:cs="Courier New"/>
      <w:sz w:val="20"/>
      <w:szCs w:val="20"/>
    </w:rPr>
  </w:style>
  <w:style w:type="character" w:styleId="42">
    <w:name w:val="Hyperlink"/>
    <w:qFormat/>
    <w:uiPriority w:val="99"/>
    <w:rPr>
      <w:color w:val="0000FF"/>
      <w:u w:val="single"/>
    </w:rPr>
  </w:style>
  <w:style w:type="character" w:styleId="43">
    <w:name w:val="annotation reference"/>
    <w:qFormat/>
    <w:uiPriority w:val="99"/>
    <w:rPr>
      <w:sz w:val="21"/>
      <w:szCs w:val="21"/>
    </w:rPr>
  </w:style>
  <w:style w:type="character" w:customStyle="1" w:styleId="44">
    <w:name w:val="read"/>
    <w:basedOn w:val="37"/>
    <w:qFormat/>
    <w:uiPriority w:val="0"/>
  </w:style>
  <w:style w:type="character" w:customStyle="1" w:styleId="45">
    <w:name w:val="纯文本 Char"/>
    <w:link w:val="18"/>
    <w:qFormat/>
    <w:uiPriority w:val="0"/>
    <w:rPr>
      <w:rFonts w:ascii="宋体" w:hAnsi="Courier New" w:eastAsia="宋体"/>
      <w:kern w:val="2"/>
      <w:sz w:val="21"/>
      <w:szCs w:val="21"/>
      <w:lang w:val="en-US" w:eastAsia="zh-CN" w:bidi="ar-SA"/>
    </w:rPr>
  </w:style>
  <w:style w:type="character" w:customStyle="1" w:styleId="46">
    <w:name w:val="txtcontent11"/>
    <w:qFormat/>
    <w:uiPriority w:val="0"/>
    <w:rPr>
      <w:rFonts w:hint="default"/>
      <w:color w:val="000000"/>
      <w:spacing w:val="326"/>
      <w:sz w:val="19"/>
      <w:szCs w:val="19"/>
    </w:rPr>
  </w:style>
  <w:style w:type="character" w:customStyle="1" w:styleId="47">
    <w:name w:val="批注文字 Char"/>
    <w:link w:val="14"/>
    <w:qFormat/>
    <w:uiPriority w:val="0"/>
    <w:rPr>
      <w:kern w:val="2"/>
      <w:sz w:val="21"/>
      <w:szCs w:val="24"/>
    </w:rPr>
  </w:style>
  <w:style w:type="character" w:customStyle="1" w:styleId="48">
    <w:name w:val="apple-style-span"/>
    <w:basedOn w:val="37"/>
    <w:qFormat/>
    <w:uiPriority w:val="0"/>
  </w:style>
  <w:style w:type="character" w:customStyle="1" w:styleId="49">
    <w:name w:val="正文文本缩进 2 Char"/>
    <w:link w:val="21"/>
    <w:qFormat/>
    <w:uiPriority w:val="0"/>
    <w:rPr>
      <w:rFonts w:ascii="宋体" w:hAnsi="宋体"/>
      <w:kern w:val="2"/>
      <w:sz w:val="21"/>
    </w:rPr>
  </w:style>
  <w:style w:type="character" w:customStyle="1" w:styleId="50">
    <w:name w:val="unnamed11"/>
    <w:qFormat/>
    <w:uiPriority w:val="0"/>
    <w:rPr>
      <w:rFonts w:hint="eastAsia" w:ascii="宋体" w:hAnsi="宋体" w:eastAsia="宋体"/>
      <w:sz w:val="18"/>
      <w:szCs w:val="18"/>
    </w:rPr>
  </w:style>
  <w:style w:type="character" w:customStyle="1" w:styleId="51">
    <w:name w:val="页脚 Char1"/>
    <w:qFormat/>
    <w:uiPriority w:val="0"/>
    <w:rPr>
      <w:rFonts w:hint="default" w:ascii="Calibri" w:hAnsi="Calibri" w:cs="Calibri"/>
      <w:kern w:val="2"/>
      <w:sz w:val="18"/>
      <w:szCs w:val="18"/>
    </w:rPr>
  </w:style>
  <w:style w:type="character" w:customStyle="1" w:styleId="52">
    <w:name w:val="tt11"/>
    <w:qFormat/>
    <w:uiPriority w:val="0"/>
    <w:rPr>
      <w:rFonts w:ascii="宋体" w:eastAsia="宋体"/>
      <w:color w:val="000000"/>
    </w:rPr>
  </w:style>
  <w:style w:type="character" w:customStyle="1" w:styleId="53">
    <w:name w:val="页眉 Char"/>
    <w:link w:val="24"/>
    <w:qFormat/>
    <w:uiPriority w:val="99"/>
    <w:rPr>
      <w:kern w:val="2"/>
      <w:sz w:val="18"/>
      <w:szCs w:val="18"/>
    </w:rPr>
  </w:style>
  <w:style w:type="character" w:customStyle="1" w:styleId="54">
    <w:name w:val="style2"/>
    <w:basedOn w:val="37"/>
    <w:qFormat/>
    <w:uiPriority w:val="0"/>
  </w:style>
  <w:style w:type="character" w:customStyle="1" w:styleId="55">
    <w:name w:val="合同标题一一 Char"/>
    <w:qFormat/>
    <w:uiPriority w:val="0"/>
    <w:rPr>
      <w:rFonts w:ascii="宋体" w:hAnsi="宋体" w:eastAsia="宋体"/>
      <w:b/>
      <w:kern w:val="44"/>
      <w:sz w:val="24"/>
      <w:szCs w:val="24"/>
      <w:lang w:val="en-US" w:eastAsia="zh-CN" w:bidi="ar-SA"/>
    </w:rPr>
  </w:style>
  <w:style w:type="character" w:customStyle="1" w:styleId="56">
    <w:name w:val="HTML 预设格式 Char"/>
    <w:link w:val="32"/>
    <w:qFormat/>
    <w:uiPriority w:val="99"/>
    <w:rPr>
      <w:rFonts w:ascii="宋体" w:hAnsi="宋体"/>
      <w:color w:val="000000"/>
      <w:sz w:val="24"/>
    </w:rPr>
  </w:style>
  <w:style w:type="character" w:customStyle="1" w:styleId="57">
    <w:name w:val="p3"/>
    <w:basedOn w:val="37"/>
    <w:qFormat/>
    <w:uiPriority w:val="0"/>
  </w:style>
  <w:style w:type="character" w:customStyle="1" w:styleId="58">
    <w:name w:val="批注框文本 Char"/>
    <w:link w:val="22"/>
    <w:semiHidden/>
    <w:qFormat/>
    <w:uiPriority w:val="99"/>
    <w:rPr>
      <w:kern w:val="2"/>
      <w:sz w:val="18"/>
      <w:szCs w:val="18"/>
    </w:rPr>
  </w:style>
  <w:style w:type="character" w:customStyle="1" w:styleId="59">
    <w:name w:val="页脚 Char"/>
    <w:link w:val="23"/>
    <w:qFormat/>
    <w:uiPriority w:val="99"/>
    <w:rPr>
      <w:kern w:val="2"/>
      <w:sz w:val="18"/>
      <w:szCs w:val="18"/>
    </w:rPr>
  </w:style>
  <w:style w:type="paragraph" w:customStyle="1" w:styleId="60">
    <w:name w:val="产品方案正文080318"/>
    <w:basedOn w:val="61"/>
    <w:qFormat/>
    <w:uiPriority w:val="0"/>
    <w:pPr>
      <w:ind w:firstLine="200"/>
    </w:pPr>
    <w:rPr>
      <w:rFonts w:ascii="宋体" w:eastAsia="宋体"/>
      <w:sz w:val="21"/>
    </w:rPr>
  </w:style>
  <w:style w:type="paragraph" w:customStyle="1" w:styleId="61">
    <w:name w:val="样式 样式 产品正文2 + 首行缩进:  2 字符 + 首行缩进:  2 字符"/>
    <w:basedOn w:val="1"/>
    <w:qFormat/>
    <w:uiPriority w:val="0"/>
    <w:pPr>
      <w:autoSpaceDE w:val="0"/>
      <w:autoSpaceDN w:val="0"/>
      <w:adjustRightInd w:val="0"/>
      <w:snapToGrid w:val="0"/>
      <w:spacing w:line="360" w:lineRule="auto"/>
      <w:ind w:firstLine="480" w:firstLineChars="200"/>
    </w:pPr>
    <w:rPr>
      <w:rFonts w:ascii="仿宋_GB2312" w:eastAsia="仿宋_GB2312" w:cs="宋体"/>
      <w:sz w:val="24"/>
      <w:szCs w:val="20"/>
      <w:lang w:val="zh-CN"/>
    </w:rPr>
  </w:style>
  <w:style w:type="paragraph" w:customStyle="1" w:styleId="62">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63">
    <w:name w:val="CM2"/>
    <w:basedOn w:val="1"/>
    <w:next w:val="1"/>
    <w:qFormat/>
    <w:uiPriority w:val="0"/>
    <w:pPr>
      <w:autoSpaceDE w:val="0"/>
      <w:autoSpaceDN w:val="0"/>
      <w:adjustRightInd w:val="0"/>
      <w:spacing w:line="471" w:lineRule="atLeast"/>
      <w:jc w:val="left"/>
    </w:pPr>
    <w:rPr>
      <w:rFonts w:ascii="黑体" w:eastAsia="黑体" w:cs="黑体"/>
      <w:kern w:val="0"/>
      <w:sz w:val="24"/>
    </w:rPr>
  </w:style>
  <w:style w:type="paragraph" w:customStyle="1" w:styleId="64">
    <w:name w:val="XBRLTitle1"/>
    <w:basedOn w:val="2"/>
    <w:next w:val="3"/>
    <w:qFormat/>
    <w:uiPriority w:val="0"/>
    <w:pPr>
      <w:keepNext w:val="0"/>
      <w:tabs>
        <w:tab w:val="left" w:pos="1941"/>
      </w:tabs>
      <w:spacing w:before="0" w:beforeLines="50" w:after="0"/>
      <w:ind w:left="1941" w:hanging="681"/>
      <w:jc w:val="left"/>
    </w:pPr>
    <w:rPr>
      <w:rFonts w:ascii="宋体" w:hAnsi="Cambria" w:cs="宋体"/>
      <w:kern w:val="44"/>
      <w:sz w:val="21"/>
    </w:rPr>
  </w:style>
  <w:style w:type="paragraph" w:customStyle="1" w:styleId="65">
    <w:name w:val="正文所"/>
    <w:basedOn w:val="1"/>
    <w:qFormat/>
    <w:uiPriority w:val="0"/>
    <w:pPr>
      <w:spacing w:line="360" w:lineRule="auto"/>
      <w:ind w:firstLine="420" w:firstLineChars="200"/>
    </w:pPr>
  </w:style>
  <w:style w:type="paragraph" w:customStyle="1" w:styleId="66">
    <w:name w:val="产品二级小标题"/>
    <w:basedOn w:val="60"/>
    <w:qFormat/>
    <w:uiPriority w:val="0"/>
    <w:pPr>
      <w:ind w:firstLine="422"/>
    </w:pPr>
    <w:rPr>
      <w:b/>
      <w:bCs/>
    </w:rPr>
  </w:style>
  <w:style w:type="paragraph" w:styleId="67">
    <w:name w:val="List Paragraph"/>
    <w:basedOn w:val="1"/>
    <w:qFormat/>
    <w:uiPriority w:val="34"/>
    <w:pPr>
      <w:ind w:firstLine="420" w:firstLineChars="200"/>
    </w:pPr>
  </w:style>
  <w:style w:type="paragraph" w:customStyle="1" w:styleId="68">
    <w:name w:val="3"/>
    <w:basedOn w:val="1"/>
    <w:qFormat/>
    <w:uiPriority w:val="0"/>
  </w:style>
  <w:style w:type="paragraph" w:customStyle="1" w:styleId="69">
    <w:name w:val="CM17"/>
    <w:basedOn w:val="1"/>
    <w:next w:val="1"/>
    <w:qFormat/>
    <w:uiPriority w:val="0"/>
    <w:pPr>
      <w:autoSpaceDE w:val="0"/>
      <w:autoSpaceDN w:val="0"/>
      <w:adjustRightInd w:val="0"/>
      <w:spacing w:line="468" w:lineRule="atLeast"/>
      <w:jc w:val="left"/>
    </w:pPr>
    <w:rPr>
      <w:rFonts w:ascii="黑体" w:eastAsia="黑体" w:cs="黑体"/>
      <w:kern w:val="0"/>
      <w:sz w:val="24"/>
    </w:rPr>
  </w:style>
  <w:style w:type="paragraph" w:customStyle="1" w:styleId="70">
    <w:name w:val="CM13"/>
    <w:basedOn w:val="1"/>
    <w:next w:val="1"/>
    <w:qFormat/>
    <w:uiPriority w:val="0"/>
    <w:pPr>
      <w:autoSpaceDE w:val="0"/>
      <w:autoSpaceDN w:val="0"/>
      <w:adjustRightInd w:val="0"/>
      <w:spacing w:line="468" w:lineRule="atLeast"/>
      <w:jc w:val="left"/>
    </w:pPr>
    <w:rPr>
      <w:rFonts w:ascii="黑体" w:eastAsia="黑体" w:cs="黑体"/>
      <w:kern w:val="0"/>
      <w:sz w:val="24"/>
    </w:rPr>
  </w:style>
  <w:style w:type="paragraph" w:customStyle="1" w:styleId="71">
    <w:name w:val="Char Char Char Char Char Char1 Char Char Char"/>
    <w:basedOn w:val="1"/>
    <w:qFormat/>
    <w:uiPriority w:val="0"/>
    <w:pPr>
      <w:autoSpaceDE w:val="0"/>
      <w:autoSpaceDN w:val="0"/>
      <w:adjustRightInd w:val="0"/>
      <w:jc w:val="left"/>
      <w:textAlignment w:val="baseline"/>
    </w:pPr>
    <w:rPr>
      <w:rFonts w:ascii="宋体"/>
      <w:kern w:val="0"/>
      <w:sz w:val="34"/>
      <w:szCs w:val="20"/>
    </w:rPr>
  </w:style>
  <w:style w:type="paragraph" w:customStyle="1" w:styleId="72">
    <w:name w:val="产品正文080318"/>
    <w:basedOn w:val="61"/>
    <w:qFormat/>
    <w:uiPriority w:val="0"/>
    <w:pPr>
      <w:ind w:firstLine="200"/>
    </w:pPr>
    <w:rPr>
      <w:rFonts w:ascii="宋体" w:eastAsia="宋体"/>
      <w:sz w:val="21"/>
    </w:rPr>
  </w:style>
  <w:style w:type="paragraph" w:customStyle="1" w:styleId="73">
    <w:name w:val="Char"/>
    <w:basedOn w:val="1"/>
    <w:qFormat/>
    <w:uiPriority w:val="0"/>
  </w:style>
  <w:style w:type="paragraph" w:customStyle="1" w:styleId="74">
    <w:name w:val="默认段落字体 Para Char Char Char Char Char Char"/>
    <w:basedOn w:val="1"/>
    <w:qFormat/>
    <w:uiPriority w:val="0"/>
    <w:pPr>
      <w:tabs>
        <w:tab w:val="left" w:pos="840"/>
      </w:tabs>
      <w:ind w:left="840" w:hanging="360"/>
    </w:pPr>
    <w:rPr>
      <w:sz w:val="24"/>
    </w:rPr>
  </w:style>
  <w:style w:type="paragraph" w:customStyle="1" w:styleId="75">
    <w:name w:val="080318"/>
    <w:basedOn w:val="1"/>
    <w:qFormat/>
    <w:uiPriority w:val="0"/>
    <w:pPr>
      <w:widowControl/>
      <w:spacing w:before="100" w:beforeAutospacing="1" w:after="100" w:afterAutospacing="1"/>
      <w:jc w:val="left"/>
    </w:pPr>
    <w:rPr>
      <w:rFonts w:ascii="宋体" w:hAnsi="宋体" w:cs="宋体"/>
      <w:kern w:val="0"/>
      <w:sz w:val="24"/>
    </w:rPr>
  </w:style>
  <w:style w:type="paragraph" w:customStyle="1" w:styleId="7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7">
    <w:name w:val="Char Char Char Char1"/>
    <w:basedOn w:val="1"/>
    <w:qFormat/>
    <w:uiPriority w:val="0"/>
    <w:pPr>
      <w:tabs>
        <w:tab w:val="left" w:pos="360"/>
      </w:tabs>
      <w:spacing w:before="312" w:after="312" w:line="360" w:lineRule="auto"/>
    </w:pPr>
    <w:rPr>
      <w:sz w:val="24"/>
    </w:rPr>
  </w:style>
  <w:style w:type="paragraph" w:customStyle="1" w:styleId="78">
    <w:name w:val="样式 (西文) 宋体 (中文) 华文楷体 加粗 行距: 1.5 倍行距"/>
    <w:basedOn w:val="1"/>
    <w:qFormat/>
    <w:uiPriority w:val="0"/>
    <w:pPr>
      <w:spacing w:line="360" w:lineRule="auto"/>
      <w:ind w:firstLine="420" w:firstLineChars="200"/>
    </w:pPr>
    <w:rPr>
      <w:rFonts w:ascii="宋体" w:hAnsi="宋体" w:cs="宋体"/>
      <w:b/>
      <w:bCs/>
      <w:szCs w:val="21"/>
    </w:rPr>
  </w:style>
  <w:style w:type="paragraph" w:customStyle="1" w:styleId="79">
    <w:name w:val="压缩版正文"/>
    <w:basedOn w:val="1"/>
    <w:qFormat/>
    <w:uiPriority w:val="0"/>
    <w:rPr>
      <w:rFonts w:ascii="仿宋_GB2312" w:eastAsia="仿宋_GB2312"/>
    </w:rPr>
  </w:style>
  <w:style w:type="paragraph" w:customStyle="1" w:styleId="80">
    <w:name w:val="Char1"/>
    <w:basedOn w:val="1"/>
    <w:qFormat/>
    <w:uiPriority w:val="0"/>
    <w:rPr>
      <w:szCs w:val="20"/>
    </w:rPr>
  </w:style>
  <w:style w:type="paragraph" w:customStyle="1" w:styleId="81">
    <w:name w:val="产品小标题2"/>
    <w:basedOn w:val="1"/>
    <w:next w:val="1"/>
    <w:qFormat/>
    <w:uiPriority w:val="0"/>
    <w:pPr>
      <w:spacing w:before="120" w:line="415" w:lineRule="auto"/>
      <w:ind w:firstLine="562" w:firstLineChars="200"/>
      <w:jc w:val="left"/>
      <w:outlineLvl w:val="0"/>
    </w:pPr>
    <w:rPr>
      <w:rFonts w:ascii="仿宋_GB2312" w:eastAsia="仿宋_GB2312"/>
      <w:b/>
      <w:kern w:val="0"/>
      <w:sz w:val="28"/>
    </w:rPr>
  </w:style>
  <w:style w:type="paragraph" w:customStyle="1" w:styleId="82">
    <w:name w:val="CM3"/>
    <w:basedOn w:val="76"/>
    <w:next w:val="76"/>
    <w:qFormat/>
    <w:uiPriority w:val="0"/>
    <w:pPr>
      <w:spacing w:line="468" w:lineRule="atLeast"/>
    </w:pPr>
    <w:rPr>
      <w:rFonts w:ascii="黑体" w:eastAsia="黑体" w:cs="黑体"/>
      <w:color w:val="auto"/>
    </w:rPr>
  </w:style>
  <w:style w:type="paragraph" w:customStyle="1" w:styleId="83">
    <w:name w:val="Char Char Char Char"/>
    <w:basedOn w:val="1"/>
    <w:qFormat/>
    <w:uiPriority w:val="0"/>
    <w:pPr>
      <w:tabs>
        <w:tab w:val="left" w:pos="360"/>
      </w:tabs>
    </w:pPr>
    <w:rPr>
      <w:sz w:val="24"/>
    </w:rPr>
  </w:style>
  <w:style w:type="paragraph" w:customStyle="1" w:styleId="84">
    <w:name w:val="UCAlpha 2"/>
    <w:basedOn w:val="1"/>
    <w:qFormat/>
    <w:uiPriority w:val="99"/>
    <w:pPr>
      <w:widowControl/>
      <w:numPr>
        <w:ilvl w:val="0"/>
        <w:numId w:val="1"/>
      </w:numPr>
      <w:spacing w:after="140" w:line="290" w:lineRule="auto"/>
    </w:pPr>
    <w:rPr>
      <w:rFonts w:ascii="Arial" w:hAnsi="Arial"/>
      <w:kern w:val="20"/>
      <w:sz w:val="20"/>
      <w:lang w:val="en-GB" w:eastAsia="en-US"/>
    </w:rPr>
  </w:style>
  <w:style w:type="paragraph" w:customStyle="1" w:styleId="85">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top"/>
    </w:pPr>
    <w:rPr>
      <w:rFonts w:ascii="Arial Unicode MS" w:hAnsi="Arial Unicode MS"/>
      <w:kern w:val="0"/>
      <w:szCs w:val="21"/>
    </w:rPr>
  </w:style>
  <w:style w:type="paragraph" w:customStyle="1" w:styleId="86">
    <w:name w:val="默认段落字体 Para Char Char Char Char Char Char Char Char Char"/>
    <w:basedOn w:val="1"/>
    <w:qFormat/>
    <w:uiPriority w:val="0"/>
    <w:pPr>
      <w:tabs>
        <w:tab w:val="left" w:pos="840"/>
      </w:tabs>
      <w:ind w:left="840" w:hanging="360"/>
    </w:pPr>
    <w:rPr>
      <w:sz w:val="24"/>
    </w:rPr>
  </w:style>
  <w:style w:type="paragraph" w:customStyle="1" w:styleId="87">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88">
    <w:name w:val="产品正文"/>
    <w:basedOn w:val="61"/>
    <w:qFormat/>
    <w:uiPriority w:val="0"/>
    <w:pPr>
      <w:ind w:firstLine="200"/>
    </w:pPr>
    <w:rPr>
      <w:rFonts w:ascii="宋体" w:eastAsia="宋体"/>
      <w:sz w:val="21"/>
    </w:rPr>
  </w:style>
  <w:style w:type="paragraph" w:customStyle="1" w:styleId="89">
    <w:name w:val="HD正文"/>
    <w:basedOn w:val="1"/>
    <w:qFormat/>
    <w:uiPriority w:val="0"/>
    <w:pPr>
      <w:snapToGrid w:val="0"/>
      <w:spacing w:line="360" w:lineRule="auto"/>
      <w:ind w:firstLine="420" w:firstLineChars="200"/>
    </w:pPr>
    <w:rPr>
      <w:szCs w:val="21"/>
    </w:rPr>
  </w:style>
  <w:style w:type="paragraph" w:customStyle="1" w:styleId="90">
    <w:name w:val="List_bullet"/>
    <w:basedOn w:val="1"/>
    <w:qFormat/>
    <w:uiPriority w:val="0"/>
    <w:pPr>
      <w:widowControl/>
      <w:tabs>
        <w:tab w:val="left" w:pos="360"/>
      </w:tabs>
      <w:ind w:left="360" w:hanging="360"/>
      <w:jc w:val="left"/>
    </w:pPr>
    <w:rPr>
      <w:kern w:val="0"/>
      <w:sz w:val="24"/>
      <w:szCs w:val="20"/>
    </w:rPr>
  </w:style>
  <w:style w:type="paragraph" w:customStyle="1" w:styleId="91">
    <w:name w:val="mso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
    <w:name w:val="1"/>
    <w:basedOn w:val="1"/>
    <w:qFormat/>
    <w:uiPriority w:val="0"/>
  </w:style>
  <w:style w:type="paragraph" w:customStyle="1" w:styleId="93">
    <w:name w:val="Char Char Char"/>
    <w:basedOn w:val="1"/>
    <w:qFormat/>
    <w:uiPriority w:val="0"/>
  </w:style>
  <w:style w:type="paragraph" w:customStyle="1" w:styleId="94">
    <w:name w:val="二级标题"/>
    <w:qFormat/>
    <w:uiPriority w:val="0"/>
    <w:pPr>
      <w:spacing w:before="100" w:after="100" w:line="360" w:lineRule="auto"/>
      <w:ind w:firstLine="200" w:firstLineChars="200"/>
    </w:pPr>
    <w:rPr>
      <w:rFonts w:ascii="宋体" w:hAnsi="宋体" w:eastAsia="宋体" w:cs="Times New Roman"/>
      <w:b/>
      <w:color w:val="000000"/>
      <w:kern w:val="2"/>
      <w:sz w:val="21"/>
      <w:szCs w:val="21"/>
      <w:lang w:val="en-US" w:eastAsia="zh-CN" w:bidi="ar-SA"/>
    </w:rPr>
  </w:style>
  <w:style w:type="paragraph" w:customStyle="1" w:styleId="95">
    <w:name w:val="募集方案正文080402"/>
    <w:basedOn w:val="21"/>
    <w:qFormat/>
    <w:uiPriority w:val="0"/>
    <w:rPr>
      <w:color w:val="000000"/>
    </w:rPr>
  </w:style>
  <w:style w:type="paragraph" w:customStyle="1" w:styleId="96">
    <w:name w:val="font7"/>
    <w:basedOn w:val="1"/>
    <w:qFormat/>
    <w:uiPriority w:val="0"/>
    <w:pPr>
      <w:widowControl/>
      <w:spacing w:before="100" w:beforeAutospacing="1" w:after="100" w:afterAutospacing="1"/>
      <w:jc w:val="left"/>
    </w:pPr>
    <w:rPr>
      <w:rFonts w:ascii="Arial" w:hAnsi="Arial" w:cs="Arial"/>
      <w:kern w:val="0"/>
      <w:szCs w:val="21"/>
    </w:rPr>
  </w:style>
  <w:style w:type="paragraph" w:customStyle="1" w:styleId="97">
    <w:name w:val="产品标题080325"/>
    <w:basedOn w:val="2"/>
    <w:qFormat/>
    <w:uiPriority w:val="0"/>
    <w:pPr>
      <w:spacing w:before="60" w:line="480" w:lineRule="auto"/>
      <w:jc w:val="left"/>
    </w:pPr>
    <w:rPr>
      <w:rFonts w:ascii="黑体" w:hAnsi="宋体" w:eastAsia="黑体"/>
      <w:b w:val="0"/>
      <w:kern w:val="0"/>
      <w:sz w:val="24"/>
      <w:szCs w:val="21"/>
    </w:rPr>
  </w:style>
  <w:style w:type="paragraph" w:customStyle="1" w:styleId="98">
    <w:name w:val="申请报告正文080320"/>
    <w:basedOn w:val="21"/>
    <w:qFormat/>
    <w:uiPriority w:val="0"/>
    <w:pPr>
      <w:spacing w:beforeLines="50" w:afterLines="50"/>
    </w:pPr>
    <w:rPr>
      <w:szCs w:val="21"/>
    </w:rPr>
  </w:style>
  <w:style w:type="paragraph" w:customStyle="1" w:styleId="99">
    <w:name w:val="产品小标题3"/>
    <w:basedOn w:val="1"/>
    <w:qFormat/>
    <w:uiPriority w:val="0"/>
    <w:pPr>
      <w:adjustRightInd w:val="0"/>
      <w:snapToGrid w:val="0"/>
      <w:spacing w:line="360" w:lineRule="auto"/>
      <w:ind w:firstLine="562" w:firstLineChars="200"/>
      <w:outlineLvl w:val="1"/>
    </w:pPr>
    <w:rPr>
      <w:rFonts w:ascii="仿宋_GB2312" w:eastAsia="仿宋_GB2312"/>
      <w:b/>
      <w:kern w:val="0"/>
      <w:sz w:val="28"/>
    </w:rPr>
  </w:style>
  <w:style w:type="paragraph" w:customStyle="1" w:styleId="100">
    <w:name w:val="figuresubinparens"/>
    <w:basedOn w:val="1"/>
    <w:qFormat/>
    <w:uiPriority w:val="0"/>
    <w:pPr>
      <w:widowControl/>
      <w:spacing w:line="280" w:lineRule="atLeast"/>
      <w:jc w:val="left"/>
    </w:pPr>
    <w:rPr>
      <w:rFonts w:ascii="Arial" w:hAnsi="Arial" w:cs="Arial"/>
      <w:i/>
      <w:iCs/>
      <w:color w:val="333333"/>
      <w:kern w:val="0"/>
      <w:sz w:val="18"/>
      <w:szCs w:val="18"/>
    </w:rPr>
  </w:style>
  <w:style w:type="paragraph" w:customStyle="1" w:styleId="101">
    <w:name w:val="080402"/>
    <w:basedOn w:val="1"/>
    <w:qFormat/>
    <w:uiPriority w:val="0"/>
    <w:pPr>
      <w:widowControl/>
      <w:spacing w:before="100" w:beforeAutospacing="1" w:after="100" w:afterAutospacing="1"/>
      <w:jc w:val="left"/>
    </w:pPr>
    <w:rPr>
      <w:rFonts w:ascii="宋体" w:hAnsi="宋体"/>
      <w:kern w:val="0"/>
      <w:sz w:val="24"/>
      <w:szCs w:val="20"/>
    </w:rPr>
  </w:style>
  <w:style w:type="character" w:customStyle="1" w:styleId="102">
    <w:name w:val="HTML 预设格式 字符"/>
    <w:qFormat/>
    <w:uiPriority w:val="99"/>
    <w:rPr>
      <w:rFonts w:ascii="宋体" w:hAnsi="宋体"/>
      <w:color w:val="000000"/>
      <w:sz w:val="24"/>
    </w:rPr>
  </w:style>
  <w:style w:type="character" w:customStyle="1" w:styleId="103">
    <w:name w:val="正文文本缩进 2 字符"/>
    <w:qFormat/>
    <w:uiPriority w:val="0"/>
    <w:rPr>
      <w:rFonts w:ascii="宋体" w:hAnsi="宋体"/>
      <w:kern w:val="2"/>
      <w:sz w:val="21"/>
    </w:rPr>
  </w:style>
  <w:style w:type="paragraph" w:customStyle="1" w:styleId="104">
    <w:name w:val="XBRLTitle2"/>
    <w:basedOn w:val="27"/>
    <w:next w:val="5"/>
    <w:qFormat/>
    <w:uiPriority w:val="0"/>
    <w:pPr>
      <w:spacing w:before="0" w:beforeLines="50" w:after="0" w:line="240" w:lineRule="auto"/>
      <w:ind w:left="840" w:hanging="420"/>
      <w:jc w:val="left"/>
    </w:pPr>
    <w:rPr>
      <w:rFonts w:ascii="宋体" w:hAnsi="Cambria" w:cs="宋体"/>
      <w:kern w:val="24"/>
      <w:sz w:val="24"/>
      <w:lang w:val="zh-CN"/>
    </w:rPr>
  </w:style>
  <w:style w:type="paragraph" w:customStyle="1" w:styleId="105">
    <w:name w:val="XBRLTitle3"/>
    <w:basedOn w:val="27"/>
    <w:next w:val="5"/>
    <w:qFormat/>
    <w:uiPriority w:val="0"/>
    <w:pPr>
      <w:spacing w:before="0" w:beforeLines="50" w:after="0" w:line="360" w:lineRule="auto"/>
      <w:jc w:val="left"/>
      <w:outlineLvl w:val="9"/>
    </w:pPr>
    <w:rPr>
      <w:rFonts w:ascii="宋体" w:hAnsi="Cambria" w:cs="宋体"/>
      <w:kern w:val="24"/>
      <w:sz w:val="24"/>
      <w:lang w:val="zh-CN"/>
    </w:rPr>
  </w:style>
  <w:style w:type="character" w:customStyle="1" w:styleId="106">
    <w:name w:val="副标题 Char"/>
    <w:link w:val="27"/>
    <w:qFormat/>
    <w:uiPriority w:val="0"/>
    <w:rPr>
      <w:rFonts w:ascii="Calibri Light" w:hAnsi="Calibri Light" w:cs="Times New Roman"/>
      <w:b/>
      <w:bCs/>
      <w:kern w:val="28"/>
      <w:sz w:val="32"/>
      <w:szCs w:val="32"/>
    </w:rPr>
  </w:style>
  <w:style w:type="paragraph" w:customStyle="1" w:styleId="107">
    <w:name w:val="Revision1"/>
    <w:unhideWhenUsed/>
    <w:qFormat/>
    <w:uiPriority w:val="99"/>
    <w:rPr>
      <w:rFonts w:ascii="Symbol" w:hAnsi="Symbol" w:eastAsia="宋体" w:cs="Symbol"/>
      <w:kern w:val="2"/>
      <w:sz w:val="21"/>
      <w:lang w:val="en-US" w:eastAsia="zh-CN" w:bidi="ar-SA"/>
    </w:rPr>
  </w:style>
  <w:style w:type="paragraph" w:customStyle="1" w:styleId="108">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F3B8C-7847-4EE9-B659-47239D764AC2}">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148</Pages>
  <Words>16584</Words>
  <Characters>94535</Characters>
  <Lines>787</Lines>
  <Paragraphs>221</Paragraphs>
  <TotalTime>1</TotalTime>
  <ScaleCrop>false</ScaleCrop>
  <LinksUpToDate>false</LinksUpToDate>
  <CharactersWithSpaces>110898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2024-02-26T11:30:00Z</dcterms:created>
  <dc:creator>李欣轩</dc:creator>
  <cp:lastModifiedBy>jiny</cp:lastModifiedBy>
  <cp:lastPrinted>2023-10-19T10:40:00Z</cp:lastPrinted>
  <dcterms:modified xsi:type="dcterms:W3CDTF">2024-04-01T13:18:56Z</dcterms:modified>
  <dc:title>招募说明书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B115705516D74D08B50BAED3E03504EC</vt:lpwstr>
  </property>
</Properties>
</file>