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02" w:rsidRDefault="00D12302">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D12302" w:rsidRDefault="00D12302">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D12302" w:rsidRDefault="00D12302">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D12302" w:rsidRDefault="000C128D">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b/>
          <w:spacing w:val="2"/>
          <w:w w:val="99"/>
          <w:kern w:val="0"/>
          <w:position w:val="-4"/>
          <w:sz w:val="44"/>
          <w:szCs w:val="44"/>
        </w:rPr>
        <w:t>银华鑫盛灵活配置混合型证券投资基金（</w:t>
      </w:r>
      <w:r>
        <w:rPr>
          <w:b/>
          <w:spacing w:val="2"/>
          <w:w w:val="99"/>
          <w:kern w:val="0"/>
          <w:position w:val="-4"/>
          <w:sz w:val="44"/>
          <w:szCs w:val="44"/>
        </w:rPr>
        <w:t>LOF</w:t>
      </w:r>
      <w:r>
        <w:rPr>
          <w:b/>
          <w:spacing w:val="2"/>
          <w:w w:val="99"/>
          <w:kern w:val="0"/>
          <w:position w:val="-4"/>
          <w:sz w:val="44"/>
          <w:szCs w:val="44"/>
        </w:rPr>
        <w:t>）</w:t>
      </w:r>
    </w:p>
    <w:p w:rsidR="00D12302" w:rsidRDefault="000C128D">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招募说明书更新</w:t>
      </w:r>
    </w:p>
    <w:p w:rsidR="00D12302" w:rsidRDefault="000C128D">
      <w:pPr>
        <w:snapToGrid w:val="0"/>
        <w:spacing w:line="360" w:lineRule="auto"/>
        <w:jc w:val="center"/>
        <w:rPr>
          <w:rFonts w:ascii="宋体" w:hAnsi="宋体"/>
          <w:b/>
          <w:sz w:val="30"/>
          <w:szCs w:val="30"/>
        </w:rPr>
      </w:pPr>
      <w:r>
        <w:rPr>
          <w:rFonts w:ascii="宋体" w:hAnsi="宋体" w:hint="eastAsia"/>
          <w:b/>
          <w:color w:val="000000"/>
          <w:sz w:val="32"/>
          <w:szCs w:val="32"/>
        </w:rPr>
        <w:t>(2025年第3号)</w:t>
      </w:r>
    </w:p>
    <w:p w:rsidR="00D12302" w:rsidRDefault="00D12302">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12302" w:rsidRDefault="00D12302">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12302" w:rsidRDefault="00D12302">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12302" w:rsidRDefault="00D12302">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12302" w:rsidRDefault="00D12302">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12302" w:rsidRDefault="00D12302">
      <w:pPr>
        <w:autoSpaceDE w:val="0"/>
        <w:autoSpaceDN w:val="0"/>
        <w:adjustRightInd w:val="0"/>
        <w:snapToGrid w:val="0"/>
        <w:spacing w:line="360" w:lineRule="auto"/>
        <w:ind w:rightChars="6" w:right="13"/>
        <w:jc w:val="center"/>
        <w:rPr>
          <w:rFonts w:ascii="宋体" w:hAnsi="宋体"/>
          <w:spacing w:val="2"/>
          <w:w w:val="99"/>
          <w:kern w:val="0"/>
          <w:sz w:val="32"/>
          <w:szCs w:val="32"/>
        </w:rPr>
      </w:pPr>
      <w:bookmarkStart w:id="0" w:name="_GoBack"/>
      <w:bookmarkEnd w:id="0"/>
    </w:p>
    <w:p w:rsidR="00D12302" w:rsidRDefault="000C128D">
      <w:pPr>
        <w:autoSpaceDE w:val="0"/>
        <w:autoSpaceDN w:val="0"/>
        <w:adjustRightInd w:val="0"/>
        <w:snapToGrid w:val="0"/>
        <w:spacing w:line="360" w:lineRule="auto"/>
        <w:ind w:firstLineChars="500" w:firstLine="1397"/>
        <w:rPr>
          <w:rFonts w:ascii="宋体" w:hAnsi="宋体"/>
          <w:b/>
          <w:w w:val="99"/>
          <w:kern w:val="0"/>
          <w:sz w:val="28"/>
          <w:szCs w:val="32"/>
        </w:rPr>
      </w:pPr>
      <w:r>
        <w:rPr>
          <w:rFonts w:ascii="宋体" w:hAnsi="宋体"/>
          <w:b/>
          <w:spacing w:val="2"/>
          <w:w w:val="99"/>
          <w:kern w:val="0"/>
          <w:sz w:val="28"/>
          <w:szCs w:val="32"/>
        </w:rPr>
        <w:t>基金管理人：银华基金管理股份有限公司</w:t>
      </w:r>
    </w:p>
    <w:p w:rsidR="00D12302" w:rsidRDefault="000C128D">
      <w:pPr>
        <w:autoSpaceDE w:val="0"/>
        <w:autoSpaceDN w:val="0"/>
        <w:adjustRightInd w:val="0"/>
        <w:snapToGrid w:val="0"/>
        <w:spacing w:line="360" w:lineRule="auto"/>
        <w:ind w:firstLineChars="500" w:firstLine="1397"/>
        <w:rPr>
          <w:rFonts w:ascii="宋体" w:hAnsi="宋体"/>
          <w:b/>
          <w:w w:val="99"/>
          <w:kern w:val="0"/>
          <w:sz w:val="28"/>
          <w:szCs w:val="32"/>
        </w:rPr>
      </w:pPr>
      <w:r>
        <w:rPr>
          <w:rFonts w:ascii="宋体" w:hAnsi="宋体"/>
          <w:b/>
          <w:spacing w:val="2"/>
          <w:w w:val="99"/>
          <w:kern w:val="0"/>
          <w:sz w:val="28"/>
          <w:szCs w:val="32"/>
        </w:rPr>
        <w:t>基金托管人：中国工商银行股份有限公司</w:t>
      </w:r>
    </w:p>
    <w:p w:rsidR="00D12302" w:rsidRDefault="00D12302">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12302" w:rsidRDefault="00D12302">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D12302" w:rsidRDefault="00D12302">
      <w:pPr>
        <w:autoSpaceDE w:val="0"/>
        <w:autoSpaceDN w:val="0"/>
        <w:adjustRightInd w:val="0"/>
        <w:snapToGrid w:val="0"/>
        <w:spacing w:line="360" w:lineRule="auto"/>
        <w:ind w:left="1347" w:rightChars="6" w:right="13"/>
        <w:rPr>
          <w:rFonts w:ascii="宋体" w:hAnsi="宋体"/>
          <w:kern w:val="0"/>
          <w:sz w:val="32"/>
          <w:szCs w:val="32"/>
        </w:rPr>
        <w:sectPr w:rsidR="00D12302">
          <w:headerReference w:type="default" r:id="rId8"/>
          <w:footerReference w:type="default" r:id="rId9"/>
          <w:headerReference w:type="first" r:id="rId10"/>
          <w:pgSz w:w="11920" w:h="16840"/>
          <w:pgMar w:top="1560" w:right="1680" w:bottom="280" w:left="1680" w:header="0" w:footer="1073" w:gutter="0"/>
          <w:pgNumType w:start="1"/>
          <w:cols w:space="720"/>
          <w:titlePg/>
          <w:docGrid w:linePitch="286"/>
        </w:sectPr>
      </w:pPr>
    </w:p>
    <w:p w:rsidR="00D12302" w:rsidRDefault="000C128D">
      <w:pPr>
        <w:pStyle w:val="1"/>
        <w:snapToGrid w:val="0"/>
        <w:spacing w:beforeLines="0" w:before="240" w:after="240"/>
        <w:rPr>
          <w:rFonts w:ascii="宋体" w:hAnsi="宋体"/>
          <w:kern w:val="0"/>
        </w:rPr>
      </w:pPr>
      <w:bookmarkStart w:id="1" w:name="_Toc324920538"/>
      <w:bookmarkStart w:id="2" w:name="_Toc496884613"/>
      <w:bookmarkStart w:id="3" w:name="_Toc218779101"/>
      <w:r>
        <w:rPr>
          <w:rFonts w:ascii="宋体" w:hAnsi="宋体"/>
          <w:kern w:val="0"/>
        </w:rPr>
        <w:lastRenderedPageBreak/>
        <w:t>重要提示</w:t>
      </w:r>
      <w:bookmarkEnd w:id="1"/>
      <w:bookmarkEnd w:id="2"/>
      <w:bookmarkEnd w:id="3"/>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本基金经中国证券监督管理委员会（以下简称“中国证监会”）2016年6月28日证监许可【2016】1442号文准予募集注册。</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本基金的基金合同生效日为2016年10月14日。</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基金管理人保证本招募说明书的内容真实、准确、完整。本招募说明书经中国证监会注册，但中国证监会对本基金募集的注册，并不表明其对本基金的风险和收益作出实质性判断或保证，也不表明投资于本基金没有风险。中国证监会不对基金的投资价值及市场前景等作出实质性判断或者保证。</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本基金是混合型证券投资基金，其预期收益和预期风险水平高于债券型基金和货币市场基金。</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信用风险、集中度风险、系统性风险、政策风险等。具体风险烦请查阅本招募说明书的“风险揭示”章节的相关内容。</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本基金的投资范围包括存托凭证，若投资可能面临中国存托凭证价格大幅波动甚至出现较大亏损的风险，以及与创新企业、境外发行人、中国存托凭证发行机制以及交易机制等相关的风险。</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本基金可根据投资策略需要或市场环境变化，选择将部分基金资产投资于北京证券交易所（以下简称“北交所”）股票或选择不将基金资产投资于北交所股票，基金资产并非必然投资于北交所股票。基金资产投资于北交所股票的特有风险包括但不限于上市公司经营风险、市场风险、股价大幅波动风险、流动性风险、转板风险、退市风险、系统性风险、集中度风险、政策风险和监管规则变化风险等。具体详见本招募说明书中“风险揭示”章节。</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本基金按照基金份额发售面值1.00元发售，在市场波动等因素的影响下，基金份额净值可能低于基金份额发售面值。</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本基金投资于证券市场，基金净值会因为证券市场波动等因素产生波动，投资人在投资本基金前，需充分了解本基金的产品特性，充分考虑自身的风险承受能力，理性判断市场，并承担基金投资中出现的各类风险，包括市场风险、管理风险、流动性风险、合规性风险、操作和技术风险以及本基金特有的风险（详见本招募说明书中“风险揭示”章节）等。本基金在基金合同生效后二年内（含第二年）不开放申购、赎回业务，但可上市交易。在场内交易过程中，可能出现基金份额二级市场交易价格低于基金份额净值的情形，即基金折价交易，从而影响持有人收益或产生损失。</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当本基金持有特定资产且存在或潜在大额赎回申请时，基金管理人履行相应程序后，可以启用侧袋机制。请基金份额持有人仔细阅读相关内容并关注本基金启用侧袋机制时的特定风险。</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投资有风险，投资人在进行投资决策前，请仔细阅读本招募说明书、基金合同、基金产品资料概要等信息披露文件，了解本基金的风险收益特征，并根据自身的投资目的、投资期限、投资经验、资产状况等判断基金是否和投资人的风险承受能力相适应。</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基金管理人承诺以恪尽职守、诚实信用、谨慎勤勉的原则管理和运用基金资产，但不保证本基金一定盈利，也不保证最低收益。当投资人赎回时，所得可能会高于或低于投资人先前所支付的金额。投资人应当认真阅读基金合同、基金招募说明书等信息披露文件，自主判断基金的投资价值，自主做出投资决策，自行承担投资风险。本基金的过往业绩及其净值高低并不预示其未来业绩表现。基金管理人所管理的其他基金的业绩并不构成对本基金业绩表现的保证。基金管理人提醒投资人基金投资的“买者自负”原则，在做出投资决策后，基金运营状况与基金净值变化引致的投资风险，由投资人自行负担。</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投资人应当通过基金管理人或具有基金销售业务资格的其他机构购买和赎回基金，基金销售机构名单详见本招募说明书、本基金的基金份额发售公告以及相关披露。</w:t>
      </w:r>
    </w:p>
    <w:p w:rsidR="00D12302" w:rsidRDefault="000C128D">
      <w:pPr>
        <w:autoSpaceDE w:val="0"/>
        <w:autoSpaceDN w:val="0"/>
        <w:adjustRightInd w:val="0"/>
        <w:snapToGrid w:val="0"/>
        <w:spacing w:line="360" w:lineRule="auto"/>
        <w:ind w:leftChars="50" w:left="105" w:firstLineChars="200" w:firstLine="480"/>
        <w:rPr>
          <w:rFonts w:ascii="宋体" w:hAnsi="宋体"/>
          <w:kern w:val="0"/>
          <w:sz w:val="24"/>
        </w:rPr>
      </w:pPr>
      <w:r>
        <w:rPr>
          <w:rFonts w:ascii="宋体" w:hAnsi="宋体"/>
          <w:kern w:val="0"/>
          <w:sz w:val="24"/>
        </w:rPr>
        <w:t>本招募说明书（更新）所载内容截止日为2025年12月10日，有关财务数据截止日为2025年09月30日，净值表现截止日为2025年06月30日，所披露的投资组合为2025年第3季度的数据（财务数据未经审计）。</w:t>
      </w:r>
    </w:p>
    <w:p w:rsidR="00D12302" w:rsidRDefault="00D12302">
      <w:pPr>
        <w:autoSpaceDE w:val="0"/>
        <w:autoSpaceDN w:val="0"/>
        <w:adjustRightInd w:val="0"/>
        <w:snapToGrid w:val="0"/>
        <w:spacing w:before="51" w:line="360" w:lineRule="auto"/>
        <w:ind w:left="120" w:rightChars="6" w:right="13" w:firstLine="480"/>
        <w:rPr>
          <w:rFonts w:ascii="宋体" w:hAnsi="宋体"/>
          <w:kern w:val="0"/>
          <w:szCs w:val="24"/>
        </w:rPr>
        <w:sectPr w:rsidR="00D12302">
          <w:headerReference w:type="default" r:id="rId11"/>
          <w:pgSz w:w="11920" w:h="16840"/>
          <w:pgMar w:top="1440" w:right="1680" w:bottom="280" w:left="1680" w:header="0" w:footer="1073" w:gutter="0"/>
          <w:pgNumType w:start="1"/>
          <w:cols w:space="720"/>
        </w:sectPr>
      </w:pPr>
    </w:p>
    <w:p w:rsidR="00763681" w:rsidRPr="00763681" w:rsidRDefault="000C128D" w:rsidP="00763681">
      <w:pPr>
        <w:pStyle w:val="af3"/>
        <w:snapToGrid w:val="0"/>
        <w:spacing w:after="240" w:line="360" w:lineRule="auto"/>
        <w:jc w:val="center"/>
        <w:rPr>
          <w:rFonts w:ascii="宋体" w:hAnsi="宋体"/>
          <w:noProof/>
          <w:sz w:val="21"/>
        </w:rPr>
      </w:pPr>
      <w:r w:rsidRPr="00763681">
        <w:rPr>
          <w:rFonts w:ascii="宋体" w:hAnsi="宋体"/>
          <w:color w:val="000000"/>
          <w:position w:val="-4"/>
          <w:sz w:val="24"/>
          <w:szCs w:val="30"/>
        </w:rPr>
        <w:t>目</w:t>
      </w:r>
      <w:r w:rsidRPr="00763681">
        <w:rPr>
          <w:rFonts w:ascii="宋体" w:hAnsi="宋体"/>
          <w:color w:val="000000"/>
          <w:position w:val="-4"/>
          <w:sz w:val="24"/>
          <w:szCs w:val="30"/>
        </w:rPr>
        <w:tab/>
        <w:t>录</w:t>
      </w:r>
      <w:r w:rsidR="00763681" w:rsidRPr="00763681">
        <w:rPr>
          <w:rFonts w:ascii="宋体" w:hAnsi="宋体"/>
          <w:color w:val="000000"/>
          <w:position w:val="-4"/>
          <w:sz w:val="21"/>
          <w:szCs w:val="30"/>
        </w:rPr>
        <w:fldChar w:fldCharType="begin"/>
      </w:r>
      <w:r w:rsidR="00763681" w:rsidRPr="00763681">
        <w:rPr>
          <w:rFonts w:ascii="宋体" w:hAnsi="宋体"/>
          <w:color w:val="000000"/>
          <w:position w:val="-4"/>
          <w:sz w:val="21"/>
          <w:szCs w:val="30"/>
        </w:rPr>
        <w:instrText xml:space="preserve"> TOC \o "1-3" \f - \h \t "-1" </w:instrText>
      </w:r>
      <w:r w:rsidR="00763681" w:rsidRPr="00763681">
        <w:rPr>
          <w:rFonts w:ascii="宋体" w:hAnsi="宋体"/>
          <w:color w:val="000000"/>
          <w:position w:val="-4"/>
          <w:sz w:val="21"/>
          <w:szCs w:val="30"/>
        </w:rPr>
        <w:fldChar w:fldCharType="separate"/>
      </w:r>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01" w:history="1">
        <w:r w:rsidR="00763681" w:rsidRPr="00763681">
          <w:rPr>
            <w:rStyle w:val="af0"/>
            <w:rFonts w:ascii="宋体" w:hAnsi="宋体"/>
            <w:noProof/>
            <w:kern w:val="0"/>
          </w:rPr>
          <w:t>重要提示</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_Toc218779101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02" w:history="1">
        <w:r w:rsidR="00763681" w:rsidRPr="00763681">
          <w:rPr>
            <w:rStyle w:val="af0"/>
            <w:rFonts w:ascii="宋体" w:hAnsi="宋体"/>
            <w:noProof/>
          </w:rPr>
          <w:t>一、绪言</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_Toc218779102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5</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03" w:history="1">
        <w:r w:rsidR="00763681" w:rsidRPr="00763681">
          <w:rPr>
            <w:rStyle w:val="af0"/>
            <w:rFonts w:ascii="宋体" w:hAnsi="宋体"/>
            <w:noProof/>
          </w:rPr>
          <w:t>二、释义</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_Toc218779103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6</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04" w:history="1">
        <w:r w:rsidR="00763681" w:rsidRPr="00763681">
          <w:rPr>
            <w:rStyle w:val="af0"/>
            <w:rFonts w:ascii="宋体" w:hAnsi="宋体"/>
            <w:noProof/>
          </w:rPr>
          <w:t>三、基金管理人</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_Toc218779104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12</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05" w:history="1">
        <w:r w:rsidR="00763681" w:rsidRPr="00763681">
          <w:rPr>
            <w:rStyle w:val="af0"/>
            <w:rFonts w:ascii="宋体" w:hAnsi="宋体"/>
            <w:noProof/>
          </w:rPr>
          <w:t>四、基金托管人</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_Toc218779105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26</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06" w:history="1">
        <w:r w:rsidR="00763681" w:rsidRPr="00763681">
          <w:rPr>
            <w:rStyle w:val="af0"/>
            <w:rFonts w:ascii="宋体" w:hAnsi="宋体"/>
            <w:noProof/>
          </w:rPr>
          <w:t>五、相关服务机构</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_Toc218779106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31</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07" w:history="1">
        <w:r w:rsidR="00763681" w:rsidRPr="00763681">
          <w:rPr>
            <w:rStyle w:val="af0"/>
            <w:rFonts w:ascii="宋体" w:hAnsi="宋体"/>
            <w:noProof/>
          </w:rPr>
          <w:t>六、基金的募集</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_Toc218779107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63</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08" w:history="1">
        <w:r w:rsidR="00763681" w:rsidRPr="00763681">
          <w:rPr>
            <w:rStyle w:val="af0"/>
            <w:rFonts w:ascii="宋体" w:hAnsi="宋体"/>
            <w:noProof/>
          </w:rPr>
          <w:t>七、基金合同的生效</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_Toc218779108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65</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09" w:history="1">
        <w:r w:rsidR="00763681" w:rsidRPr="00763681">
          <w:rPr>
            <w:rStyle w:val="af0"/>
            <w:rFonts w:ascii="宋体" w:hAnsi="宋体"/>
            <w:noProof/>
          </w:rPr>
          <w:t>八、基金份额的上市交易</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_Toc218779109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66</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10" w:history="1">
        <w:r w:rsidR="00763681" w:rsidRPr="00763681">
          <w:rPr>
            <w:rStyle w:val="af0"/>
            <w:rFonts w:ascii="宋体" w:hAnsi="宋体"/>
            <w:noProof/>
          </w:rPr>
          <w:t>九、基金份额的申购与赎回</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_Toc218779110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68</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11" w:history="1">
        <w:r w:rsidR="00763681" w:rsidRPr="00763681">
          <w:rPr>
            <w:rStyle w:val="af0"/>
            <w:rFonts w:ascii="宋体" w:hAnsi="宋体"/>
            <w:noProof/>
          </w:rPr>
          <w:t>十、基金的投资</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_Toc218779111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83</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12" w:history="1">
        <w:r w:rsidR="00763681" w:rsidRPr="00763681">
          <w:rPr>
            <w:rStyle w:val="af0"/>
            <w:rFonts w:ascii="宋体" w:hAnsi="宋体"/>
            <w:noProof/>
          </w:rPr>
          <w:t>十一、基金的业绩</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_Toc218779112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101</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13" w:history="1">
        <w:r w:rsidR="00763681" w:rsidRPr="00763681">
          <w:rPr>
            <w:rStyle w:val="af0"/>
            <w:rFonts w:ascii="宋体" w:hAnsi="宋体"/>
            <w:noProof/>
          </w:rPr>
          <w:t>十二、基金的财产</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_Toc218779113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103</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14" w:history="1">
        <w:r w:rsidR="00763681" w:rsidRPr="00763681">
          <w:rPr>
            <w:rStyle w:val="af0"/>
            <w:rFonts w:ascii="宋体" w:hAnsi="宋体"/>
            <w:noProof/>
          </w:rPr>
          <w:t>十三、基金资产估值</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_Toc218779114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104</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15" w:history="1">
        <w:r w:rsidR="00763681" w:rsidRPr="00763681">
          <w:rPr>
            <w:rStyle w:val="af0"/>
            <w:rFonts w:ascii="宋体" w:hAnsi="宋体"/>
            <w:noProof/>
          </w:rPr>
          <w:t>十四、基金的收益与分配</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_Toc218779115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110</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16" w:history="1">
        <w:r w:rsidR="00763681" w:rsidRPr="00763681">
          <w:rPr>
            <w:rStyle w:val="af0"/>
            <w:rFonts w:ascii="宋体" w:hAnsi="宋体"/>
            <w:noProof/>
          </w:rPr>
          <w:t>十五、基金的费用与税收</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_Toc218779116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112</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17" w:history="1">
        <w:r w:rsidR="00763681" w:rsidRPr="00763681">
          <w:rPr>
            <w:rStyle w:val="af0"/>
            <w:rFonts w:ascii="宋体" w:hAnsi="宋体"/>
            <w:noProof/>
          </w:rPr>
          <w:t>十六、基金的会计和审计</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_Toc218779117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115</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18" w:history="1">
        <w:r w:rsidR="00763681" w:rsidRPr="00763681">
          <w:rPr>
            <w:rStyle w:val="af0"/>
            <w:rFonts w:ascii="宋体" w:hAnsi="宋体"/>
            <w:noProof/>
          </w:rPr>
          <w:t>十七、基金的自动转型</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_Toc218779118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116</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19" w:history="1">
        <w:r w:rsidR="00763681" w:rsidRPr="00763681">
          <w:rPr>
            <w:rStyle w:val="af0"/>
            <w:rFonts w:ascii="宋体" w:hAnsi="宋体"/>
            <w:noProof/>
          </w:rPr>
          <w:t>十八、基金的信息披露</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_Toc218779119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118</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20" w:history="1">
        <w:r w:rsidR="00763681" w:rsidRPr="00763681">
          <w:rPr>
            <w:rStyle w:val="af0"/>
            <w:rFonts w:ascii="宋体" w:hAnsi="宋体"/>
            <w:noProof/>
          </w:rPr>
          <w:t>十九、侧袋机制</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_Toc218779120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125</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21" w:history="1">
        <w:r w:rsidR="00763681" w:rsidRPr="00763681">
          <w:rPr>
            <w:rStyle w:val="af0"/>
            <w:rFonts w:ascii="宋体" w:hAnsi="宋体"/>
            <w:noProof/>
          </w:rPr>
          <w:t>二十、风险揭示</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_Toc218779121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127</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22" w:history="1">
        <w:r w:rsidR="00763681" w:rsidRPr="00763681">
          <w:rPr>
            <w:rStyle w:val="af0"/>
            <w:rFonts w:ascii="宋体" w:hAnsi="宋体"/>
            <w:noProof/>
          </w:rPr>
          <w:t>二十一、基金合同的变更、终止与基金财产的清算</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_Toc218779122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134</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23" w:history="1">
        <w:r w:rsidR="00763681" w:rsidRPr="00763681">
          <w:rPr>
            <w:rStyle w:val="af0"/>
            <w:rFonts w:ascii="宋体" w:hAnsi="宋体"/>
            <w:noProof/>
          </w:rPr>
          <w:t>二十二、基金合同的内容摘要</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_Toc218779123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137</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24" w:history="1">
        <w:r w:rsidR="00763681" w:rsidRPr="00763681">
          <w:rPr>
            <w:rStyle w:val="af0"/>
            <w:rFonts w:ascii="宋体" w:hAnsi="宋体"/>
            <w:noProof/>
          </w:rPr>
          <w:t>二十三、基金托管协议的内容摘要</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_Toc218779124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155</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25" w:history="1">
        <w:r w:rsidR="00763681" w:rsidRPr="00763681">
          <w:rPr>
            <w:rStyle w:val="af0"/>
            <w:rFonts w:ascii="宋体" w:hAnsi="宋体"/>
            <w:noProof/>
          </w:rPr>
          <w:t>二十四、对基金份额持有人的服务</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_Toc218779125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173</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26" w:history="1">
        <w:r w:rsidR="00763681" w:rsidRPr="00763681">
          <w:rPr>
            <w:rStyle w:val="af0"/>
            <w:rFonts w:ascii="宋体" w:hAnsi="宋体"/>
            <w:noProof/>
          </w:rPr>
          <w:t>二十五、其他应披露事项</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_Toc218779126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175</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27" w:history="1">
        <w:r w:rsidR="00763681" w:rsidRPr="00763681">
          <w:rPr>
            <w:rStyle w:val="af0"/>
            <w:rFonts w:ascii="宋体" w:hAnsi="宋体"/>
            <w:noProof/>
          </w:rPr>
          <w:t>二十六、招募说明书的存放及查阅方式</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_Toc218779127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176</w:t>
        </w:r>
        <w:r w:rsidR="00763681" w:rsidRPr="00763681">
          <w:rPr>
            <w:rFonts w:ascii="宋体" w:hAnsi="宋体"/>
            <w:noProof/>
          </w:rPr>
          <w:fldChar w:fldCharType="end"/>
        </w:r>
      </w:hyperlink>
    </w:p>
    <w:p w:rsidR="00763681" w:rsidRPr="00763681" w:rsidRDefault="00672960" w:rsidP="00763681">
      <w:pPr>
        <w:pStyle w:val="11"/>
        <w:tabs>
          <w:tab w:val="right" w:leader="dot" w:pos="8550"/>
        </w:tabs>
        <w:spacing w:line="360" w:lineRule="auto"/>
        <w:rPr>
          <w:rFonts w:ascii="宋体" w:hAnsi="宋体" w:cstheme="minorBidi"/>
          <w:noProof/>
        </w:rPr>
      </w:pPr>
      <w:hyperlink w:anchor="_Toc218779128" w:history="1">
        <w:r w:rsidR="00763681" w:rsidRPr="00763681">
          <w:rPr>
            <w:rStyle w:val="af0"/>
            <w:rFonts w:ascii="宋体" w:hAnsi="宋体"/>
            <w:noProof/>
          </w:rPr>
          <w:t>二十七、备查文件</w:t>
        </w:r>
        <w:r w:rsidR="00763681" w:rsidRPr="00763681">
          <w:rPr>
            <w:rFonts w:ascii="宋体" w:hAnsi="宋体"/>
            <w:noProof/>
          </w:rPr>
          <w:tab/>
        </w:r>
        <w:r w:rsidR="00763681" w:rsidRPr="00763681">
          <w:rPr>
            <w:rFonts w:ascii="宋体" w:hAnsi="宋体"/>
            <w:noProof/>
          </w:rPr>
          <w:fldChar w:fldCharType="begin"/>
        </w:r>
        <w:r w:rsidR="00763681" w:rsidRPr="00763681">
          <w:rPr>
            <w:rFonts w:ascii="宋体" w:hAnsi="宋体"/>
            <w:noProof/>
          </w:rPr>
          <w:instrText xml:space="preserve"> PAGEREF _Toc218779128 \h </w:instrText>
        </w:r>
        <w:r w:rsidR="00763681" w:rsidRPr="00763681">
          <w:rPr>
            <w:rFonts w:ascii="宋体" w:hAnsi="宋体"/>
            <w:noProof/>
          </w:rPr>
        </w:r>
        <w:r w:rsidR="00763681" w:rsidRPr="00763681">
          <w:rPr>
            <w:rFonts w:ascii="宋体" w:hAnsi="宋体"/>
            <w:noProof/>
          </w:rPr>
          <w:fldChar w:fldCharType="separate"/>
        </w:r>
        <w:r w:rsidR="00763681" w:rsidRPr="00763681">
          <w:rPr>
            <w:rFonts w:ascii="宋体" w:hAnsi="宋体"/>
            <w:noProof/>
          </w:rPr>
          <w:t>177</w:t>
        </w:r>
        <w:r w:rsidR="00763681" w:rsidRPr="00763681">
          <w:rPr>
            <w:rFonts w:ascii="宋体" w:hAnsi="宋体"/>
            <w:noProof/>
          </w:rPr>
          <w:fldChar w:fldCharType="end"/>
        </w:r>
      </w:hyperlink>
    </w:p>
    <w:p w:rsidR="00D12302" w:rsidRPr="00763681" w:rsidRDefault="00763681" w:rsidP="00763681">
      <w:pPr>
        <w:pStyle w:val="af3"/>
        <w:snapToGrid w:val="0"/>
        <w:spacing w:after="240" w:line="360" w:lineRule="auto"/>
        <w:jc w:val="center"/>
        <w:rPr>
          <w:rFonts w:ascii="宋体" w:hAnsi="宋体"/>
          <w:color w:val="000000"/>
          <w:sz w:val="24"/>
        </w:rPr>
      </w:pPr>
      <w:r w:rsidRPr="00763681">
        <w:rPr>
          <w:rFonts w:ascii="宋体" w:hAnsi="宋体"/>
          <w:color w:val="000000"/>
          <w:position w:val="-4"/>
          <w:sz w:val="21"/>
          <w:szCs w:val="30"/>
        </w:rPr>
        <w:fldChar w:fldCharType="end"/>
      </w:r>
    </w:p>
    <w:p w:rsidR="00D12302" w:rsidRDefault="00D12302">
      <w:pPr>
        <w:autoSpaceDE w:val="0"/>
        <w:autoSpaceDN w:val="0"/>
        <w:adjustRightInd w:val="0"/>
        <w:snapToGrid w:val="0"/>
        <w:spacing w:line="360" w:lineRule="auto"/>
        <w:ind w:left="120" w:rightChars="6" w:right="13"/>
        <w:rPr>
          <w:rFonts w:ascii="宋体" w:hAnsi="宋体"/>
          <w:kern w:val="0"/>
          <w:szCs w:val="24"/>
        </w:rPr>
        <w:sectPr w:rsidR="00D12302">
          <w:pgSz w:w="11920" w:h="16840"/>
          <w:pgMar w:top="1480" w:right="1680" w:bottom="280" w:left="1680" w:header="0" w:footer="1073" w:gutter="0"/>
          <w:cols w:space="720"/>
        </w:sectPr>
      </w:pPr>
    </w:p>
    <w:p w:rsidR="00D12302" w:rsidRDefault="00D12302">
      <w:pPr>
        <w:autoSpaceDE w:val="0"/>
        <w:autoSpaceDN w:val="0"/>
        <w:adjustRightInd w:val="0"/>
        <w:snapToGrid w:val="0"/>
        <w:spacing w:line="360" w:lineRule="auto"/>
        <w:ind w:firstLineChars="200" w:firstLine="420"/>
        <w:rPr>
          <w:rFonts w:ascii="宋体" w:hAnsi="宋体"/>
          <w:kern w:val="0"/>
          <w:szCs w:val="24"/>
        </w:rPr>
      </w:pPr>
    </w:p>
    <w:p w:rsidR="00D12302" w:rsidRDefault="000C128D">
      <w:pPr>
        <w:pStyle w:val="1"/>
        <w:snapToGrid w:val="0"/>
        <w:spacing w:beforeLines="0" w:before="240" w:after="240"/>
        <w:rPr>
          <w:rFonts w:ascii="宋体" w:hAnsi="宋体"/>
          <w:szCs w:val="30"/>
        </w:rPr>
      </w:pPr>
      <w:bookmarkStart w:id="4" w:name="_Toc218779102"/>
      <w:r>
        <w:rPr>
          <w:rFonts w:ascii="宋体" w:hAnsi="宋体"/>
          <w:sz w:val="30"/>
        </w:rPr>
        <w:t>一、绪言</w:t>
      </w:r>
      <w:bookmarkEnd w:id="4"/>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银华鑫盛灵活配置混合型证券投资基金（LOF）招募说明书》（以下简称“招募说明书”或“本招募说明书”）依据《中华人民共和国证券投资基金法》（以下简称“《基金法》”）、《公开募集证券投资基金销售机构监督管理办法》（以下简称“《销售办法》”）、《公开募集证券投资基金运作管理办法》（以下简称“《运作办法》”）、《公开募集证券投资基金信息披露管理办法》（以下简称“《信息披露办法》”）、《公开募集开放式证券投资基金流动性风险管理规定》（以下简称“《流动性风险管理规定》”）《银华鑫盛灵活配置混合型证券投资基金（LOF）基金合同》（以下简称“基金合同”）及其他有关法律法规编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本招募说明书阐述了银华鑫盛灵活配置混合型证券投资基金（LOF）的投资目标、策略、风险、费率等与投资人投资决策有关的全部必要事项，投资人在作出投资决策前应仔细阅读本招募说明书。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根据本招募说明书所载明的资料申请募集的。本招募说明书由银华基金管理股份有限公司解释。本基金管理人没有委托或授权任何其他人提供未在本招募说明书中载明的信息，或对本招募说明书作任何解释或者说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本基金基金份额的行为本身即表明其对基金合同的承认和接受。基金份额持有人作为基金合同当事人并不以在基金合同上书面签章为必要条件。基金合同当事人应按照《基金法》、基金合同及其他有关规定享有权利、承担义务。基金投资人欲了解基金份额持有人的权利和义务，应详细查阅基金合同。</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5" w:name="_Toc218779103"/>
      <w:r>
        <w:rPr>
          <w:rFonts w:ascii="宋体" w:hAnsi="宋体"/>
          <w:sz w:val="30"/>
        </w:rPr>
        <w:t>二、释义</w:t>
      </w:r>
      <w:bookmarkEnd w:id="5"/>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1、基金或本基金：指银华鑫盛定增灵活配置混合型证券投资基金，按照基金合同约定自动转型为上市开放式基金（LOF）后更名为银华鑫盛灵活配置混合型证券投资基金（LOF）</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2、基金管理人：指银华基金管理股份有限公司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3、基金托管人：指中国工商银行股份有限公司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4、基金合同或《基金合同》：指《银华鑫盛灵活配置混合型证券投资基金（LOF）基金合同》及对基金合同的任何有效修订和补充</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5、托管协议：指基金管理人与基金托管人就本基金签订之《银华鑫盛灵活配置混合型证券投资基金（LOF）托管协议》及对该托管协议的任何有效修订和补充</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6、招募说明书或本招募说明书：指《银华鑫盛灵活配置混合型证券投资基金（LOF）招募说明书》及其更新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7、基金份额发售公告：指《银华鑫盛定增灵活配置混合型证券投资基金份额发售公告》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8、法律法规：指中国现行有效并公布实施的法律、行政法规、规范性文件、部门规章、地方性法规、地方政府规章和其制定机构不时做出的修改、补充和有权解释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法》：指2003年10月28日经第十届全国人民代表大会常务委员会第五次会议通过，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10、《销售办法》：指中国证监会2020年8月28日颁布、同年10月1日实施的《公开募集证券投资基金销售机构监督管理办法》及颁布机关对其不时做出的修订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11、《信息披露办法》：指中国证监会2019年7月26日颁布、同年9月1日实施的《公开募集证券投资基金信息披露管理办法》及颁布机关对其不时做出的修订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12、《运作办法》：指中国证监会2014年7月7日颁布、同年8月8日实施的《公开募集证券投资基金运作管理办法》及颁布机关对其不时做出的修订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13、《流动性风险管理规定》：指中国证监会2017年8月31日颁布、同年10月1日实施的《公开募集开放式证券投资基金流动性风险管理规定》及颁布机关对其不时做出的修订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14、中国证监会：指中国证券监督管理委员会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15、银行业监督管理机构：指中国人民银行和/或中国银行业监督管理委员会或其他经国务院授权的机构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16、基金合同当事人：指受基金合同约束，根据基金合同享有权利并承担义务的法律主体，包括基金管理人、基金托管人和基金份额持有人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17、个人投资者：指依据有关法律法规规定可投资于证券投资基金的自然人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18、机构投资者：指依法可以投资证券投资基金的、在中华人民共和国境内合法登记并存续或经有关政府部门批准设立并存续的企业法人、事业法人、社会团体或其他组织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合格境外投资者：指符合《合格境外机构投资者和人民币合格境外机构投资者境内证券期货投资管理办法》及相关法律法规规定，经中国证监会批准，使用来自境外的资金进行境内证券期货投资的境外机构投资者，包括合格境外机构投资者和人民币合格境外机构投资者</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20、投资人、投资者：指个人投资者、机构投资者、合格境外投资者以及法律法规或中国证监会允许购买证券投资基金的其他投资人的合称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21、基金份额持有人：指依基金合同及招募说明书等相关文件合法取得本基金基金份额的投资人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22、基金销售业务：指基金管理人或其他销售机构宣传推介基金，发售基金份额，办理基金份额的申购、赎回、转换、转托管及定期定额投资等业务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销售机构：指银华基金管理股份有限公司以及符合《销售办法》和中国证监会规定的其他条件，取得基金销售业务资格并与基金管理人签订了基金销售服务代理协议、代为办理基金销售业务的机构，以及可通过上海证券交易所交易系统办理基金销售业务的会员单位。其中可通过上海证券交易所交易系统办理本基金销售业务的机构必须是具有基金销售业务资格、并经上海证券交易所和中国证券登记结算有限责任公司认可的、可通过上海证券交易所交易系统办理本基金销售业务的上海证券交易所会员单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24、基金销售网点：指销售机构的销售网点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场外：指上海证券交易所交易系统外的销售机构利用其自身柜台或者其他交易系统办理基金份额认购、申购和赎回业务的基金销售机构和场所。通过该等场所办理基金份额的认购、申购和赎回也称为场外认购、场外申购和场外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场内：指通过具有相应业务资格的上海证券交易所会员单位利用上海证券交易所交易系统办理基金份额认购、申购、赎回和上市交易等业务的场所。通过该等场所办理基金份额的认购、申购、赎回也称为场内认购、场内申购、场内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28、登记机构：指办理登记业务的机构。基金的登记机构为中国证券登记结算有限责任公司，基金管理人也可以自行或委托其他机构担任登记机构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29、登记结算系统：指中国证券登记结算有限责任公司开放式基金登记结算系统，登记在该系统的基金份额也称为场外份额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30、证券登记系统：指中国证券登记结算有限责任公司上海分公司证券登记系统，登记在该系统的基金份额也称为场内份额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开放式基金账户：指投资人通过场外销售机构在中国证券登记结算有限责任公司注册的开放式基金账户，用于记录投资人持有的、基金管理人所管理的基金份额余额及其变动情况。投资人办理场外认购、场外申购和场外赎回等业务时需具有开放式基金账户。记录在该账户下的基金份额登记在登记机构的登记结算系统</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上海证券账户：指投资人在中国证券登记结算有限责任公司上海分公司开设的上海证券交易所人民币普通股票账户或证券投资基金账户。投资人通过上海证券交易所交易系统办理基金交易、场内认购、场内申购和场内赎回等业务时需持有上海证券账户。记录在该账户下的基金份额登记在登记机构的证券登记系统</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33、基金交易账户：指销售机构为投资人开立的、记录投资人通过该销售机构办理认购、申购、赎回、转换、转托管及定期定额投资等业务而引起基金份额变动及结余情况的账户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34、基金合同生效日：指基金募集达到法律法规规定及基金合同规定的条件，基金管理人聘请法定机构验资并向中国证监会办理基金备案手续完毕，并获得中国证监会书面确认之日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35、基金合同终止日：指基金合同规定的基金合同终止事由出现后，基金财产清算完毕，清算报告报中国证监会备案并予以公告的日期</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36、基金募集期：指自基金份额发售之日起至发售结束之日止的期间，最长不得超过3个月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37、存续期：指基金合同生效后合法存续的不定期期间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38、工作日：指上海证券交易所、深圳证券交易所的正常交易日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39、T日：指销售机构在规定时间受理投资人申购、赎回或其他业务申请的工作日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40、T+n日：指自T日起第n个工作日(不包含T日)，n=1,2,3,4,5……</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41、开放日：指本基金按照基金合同约定自动转型为上市开放式基金（LOF）后，为投资人办理基金份额申购、赎回或其他业务的工作日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42、开放时间：指开放日基金接受申购、赎回或其他交易的时间段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43、年度对日：指某一日期在后续年度中的对应日期；如该对应日期为非工作日或该日历年度中不存在对应日期的，则顺延至下一工作日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44、《业务规则》：指本基金管理人、上海证券交易所、中国证券登记结算有限责任公司及销售机构的相关业务规则及其不时做出的修订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45、认购：指在基金募集期内，投资人根据基金合同和招募说明书规定的条件以及基金销售网点规定的手续申请购买本基金基金份额的行为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46、申购：指基金按照基金合同约定自动转型为上市开放式基金（LOF）后，投资人根据基金合同和招募说明书规定的条件以及基金销售网点规定的手续申请购买本基金基金份额的行为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47、赎回：指基金按照基金合同约定自动转型为上市开放式基金（LOF）后，基金份额持有人按基金合同和招募说明书规定的条件以及基金销售网点规定的手续要求将本基金基金份额兑换为现金的行为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48、上市交易：基金存续期间投资人通过场内会员单位以集中竞价的方式买卖基金份额的行为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49、《上市交易公告书》：指《银华鑫盛定增灵活配置混合型证券投资基金上市交易公告书》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基金转换：指基金份额持有人按照基金合同和基金管理人届时有效公告规定的条件，申请将其持有基金管理人管理的已开通基金转换业务的开放式基金的全部或部分基金份额转换为同一基金管理人管理的且已开通基金转换业务的其他开放式基金基金份额的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51、转托管：指基金份额持有人在本基金的不同销售机构之间实施的变更所持基金份额销售机构的操作，包括跨系统转托管和系统内转托管；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52、系统内转托管：基金份额持有人将持有的基金份额在登记结算系统内不同销售机构（网点）之间或证券登记系统内不同会员单位（交易单元）之间进行转登记的行为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53、跨系统转托管：基金份额持有人将持有的基金份额在登记结算系统和证券登记系统间进行转登记的行为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自动转型：指在《银华鑫盛定增灵活配置混合型证券投资基金基金合同》生效后第二个年度对日起，银华鑫盛定增灵活配置混合型证券投资基金按照基金合同约定的规则，自动转型为上市开放式基金（LOF），并更名为银华鑫盛灵活配置混合型证券投资基金（LOF）</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55、定期定额投资计划：指投资人通过有关销售机构提出申请，约定每期申购日、扣款金额及扣款方式，由销售机构于每期约定扣款日在投资人指定银行账户内自动完成扣款及受理基金申购申请的一种投资方式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56、巨额赎回：指本基金单个开放日，基金净赎回申请(赎回申请份额总数加上基金转换中转出申请份额总数后扣除申购申请份额总数及基金转换中转入申请份额总数后的余额)超过上一开放日基金总份额的10%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58、元：指中国法定货币人民币元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59、基金利润：指基金利息收入、投资收益、公允价值变动收益和其他收入扣除相关费用后的余额，基金已实现收益指基金利润减去公允价值变动收益后的余额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基金份额类别：本基金将基金份额分为A类和C类不同的类别。在投资人申购基金份额时收取申购费用而不是从本类别基金资产中计提销售服务费的，称为A类基金份额；在投资人申购基金份额时不收取申购费用而是从本类别基金资产中计提销售服务费的，称为C类基金份额；本基金A类基金份额可通过场内或场外两种方式办理申购与赎回，C类基金份额仅可通过场外方式办理申购与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61、基金资产总值：指基金拥有的各类有价证券、股指期货合约、银行存款本息、基金应收款项及其他资产的价值总和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62、基金资产净值：指基金资产总值扣除基金负债后的净资产值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63、基金份额净值：指计算日各类基金资产净值分别除以计算日该类基金份额总数所得价值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64、基金资产估值：指计算评估基金资产和负债的价值，以确定基金资产净值和基金份额净值的过程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65、规定媒介：指符合中国证监会规定条件的用以进行信息披露的全国性报刊及《信息披露办法》规定的互联网网站（包括基金管理人网站、基金托管人网站、中国证监会基金电子披露网站）等媒介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66、不可抗力：指基金合同当事人不能预见、不能避免且不能克服的客观事件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67、中国：指中华人民共和国，为基金合同的目的，不包括香港特别行政区、澳门特别行政区及台湾地区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68、基金产品资料概要：指《银华鑫盛灵活配置混合型证券投资基金（LOF）基金产品资料概要》及其更新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70、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71、销售服务费：指从基金财产中计提的，用于本基金市场推广、销售以及基金份额持有人服务的费用</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6" w:name="_Toc218779104"/>
      <w:r>
        <w:rPr>
          <w:rFonts w:ascii="宋体" w:hAnsi="宋体"/>
          <w:sz w:val="30"/>
        </w:rPr>
        <w:t>三、基金管理人</w:t>
      </w:r>
      <w:bookmarkEnd w:id="6"/>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tbl>
      <w:tblPr>
        <w:tblW w:w="5000" w:type="pct"/>
        <w:tblLayout w:type="fixed"/>
        <w:tblCellMar>
          <w:left w:w="0" w:type="dxa"/>
          <w:right w:w="0" w:type="dxa"/>
        </w:tblCellMar>
        <w:tblLook w:val="0000" w:firstRow="0" w:lastRow="0" w:firstColumn="0" w:lastColumn="0" w:noHBand="0" w:noVBand="0"/>
      </w:tblPr>
      <w:tblGrid>
        <w:gridCol w:w="1401"/>
        <w:gridCol w:w="2510"/>
        <w:gridCol w:w="1402"/>
        <w:gridCol w:w="3357"/>
      </w:tblGrid>
      <w:tr w:rsidR="00D12302">
        <w:trPr>
          <w:cantSplit/>
          <w:trHeight w:val="375"/>
        </w:trPr>
        <w:tc>
          <w:tcPr>
            <w:tcW w:w="4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名称</w:t>
            </w:r>
          </w:p>
        </w:tc>
        <w:tc>
          <w:tcPr>
            <w:tcW w:w="223"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银华基金管理股份有限公司</w:t>
            </w:r>
          </w:p>
        </w:tc>
      </w:tr>
      <w:tr w:rsidR="00D12302">
        <w:trPr>
          <w:cantSplit/>
          <w:trHeight w:val="375"/>
        </w:trPr>
        <w:tc>
          <w:tcPr>
            <w:tcW w:w="4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住所</w:t>
            </w:r>
          </w:p>
        </w:tc>
        <w:tc>
          <w:tcPr>
            <w:tcW w:w="223"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深圳市福田区深南大道6008号特区报业大厦19层</w:t>
            </w:r>
          </w:p>
        </w:tc>
      </w:tr>
      <w:tr w:rsidR="00D12302">
        <w:trPr>
          <w:cantSplit/>
          <w:trHeight w:val="375"/>
        </w:trPr>
        <w:tc>
          <w:tcPr>
            <w:tcW w:w="4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223"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北京市东城区东长安街1号东方广场东方经贸城C2办公楼15层</w:t>
            </w:r>
          </w:p>
        </w:tc>
      </w:tr>
      <w:tr w:rsidR="00D12302">
        <w:trPr>
          <w:cantSplit/>
          <w:trHeight w:val="375"/>
        </w:trPr>
        <w:tc>
          <w:tcPr>
            <w:tcW w:w="4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7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王珠林</w:t>
            </w:r>
          </w:p>
        </w:tc>
        <w:tc>
          <w:tcPr>
            <w:tcW w:w="4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设立日期</w:t>
            </w:r>
          </w:p>
        </w:tc>
        <w:tc>
          <w:tcPr>
            <w:tcW w:w="10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2001年5月28日</w:t>
            </w:r>
          </w:p>
        </w:tc>
      </w:tr>
      <w:tr w:rsidR="00D12302">
        <w:trPr>
          <w:cantSplit/>
          <w:trHeight w:val="375"/>
        </w:trPr>
        <w:tc>
          <w:tcPr>
            <w:tcW w:w="4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批准设立机关</w:t>
            </w:r>
          </w:p>
        </w:tc>
        <w:tc>
          <w:tcPr>
            <w:tcW w:w="7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中国证监会</w:t>
            </w:r>
          </w:p>
        </w:tc>
        <w:tc>
          <w:tcPr>
            <w:tcW w:w="4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批准设立文号</w:t>
            </w:r>
          </w:p>
        </w:tc>
        <w:tc>
          <w:tcPr>
            <w:tcW w:w="10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中国证监会证监基金字[2001]7号</w:t>
            </w:r>
          </w:p>
        </w:tc>
      </w:tr>
      <w:tr w:rsidR="00D12302">
        <w:trPr>
          <w:cantSplit/>
          <w:trHeight w:val="375"/>
        </w:trPr>
        <w:tc>
          <w:tcPr>
            <w:tcW w:w="4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组织形式</w:t>
            </w:r>
          </w:p>
        </w:tc>
        <w:tc>
          <w:tcPr>
            <w:tcW w:w="7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股份有限公司</w:t>
            </w:r>
          </w:p>
        </w:tc>
        <w:tc>
          <w:tcPr>
            <w:tcW w:w="4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注册资本</w:t>
            </w:r>
          </w:p>
        </w:tc>
        <w:tc>
          <w:tcPr>
            <w:tcW w:w="10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2.222亿元人民币</w:t>
            </w:r>
          </w:p>
        </w:tc>
      </w:tr>
      <w:tr w:rsidR="00D12302">
        <w:trPr>
          <w:cantSplit/>
          <w:trHeight w:val="375"/>
        </w:trPr>
        <w:tc>
          <w:tcPr>
            <w:tcW w:w="4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存续期间</w:t>
            </w:r>
          </w:p>
        </w:tc>
        <w:tc>
          <w:tcPr>
            <w:tcW w:w="7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持续经营</w:t>
            </w:r>
          </w:p>
        </w:tc>
        <w:tc>
          <w:tcPr>
            <w:tcW w:w="4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0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兰健</w:t>
            </w:r>
          </w:p>
        </w:tc>
      </w:tr>
      <w:tr w:rsidR="00D12302">
        <w:trPr>
          <w:cantSplit/>
          <w:trHeight w:val="375"/>
        </w:trPr>
        <w:tc>
          <w:tcPr>
            <w:tcW w:w="4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电话</w:t>
            </w:r>
          </w:p>
        </w:tc>
        <w:tc>
          <w:tcPr>
            <w:tcW w:w="7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010-58163000</w:t>
            </w:r>
          </w:p>
        </w:tc>
        <w:tc>
          <w:tcPr>
            <w:tcW w:w="4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传真</w:t>
            </w:r>
          </w:p>
        </w:tc>
        <w:tc>
          <w:tcPr>
            <w:tcW w:w="10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010-58163090</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银华基金管理有限公司成立于2001年5月28日，是经中国证监会批准（证监基金字[2001]7号文）设立的全国性资产管理公司。公司注册资本为2.222亿元人民币，公司的股权结构为西南证券股份有限公司（出资比例44.10%）、第一创业证券股份有限公司（出资比例26.10%）、东北证券股份有限公司（出资比例18.90%）、山西海鑫实业有限公司（出资比例0.90%）、珠海银华聚义投资合伙企业（有限合伙）（出资比例3.57%）、珠海银华致信投资合伙企业（有限合伙）（出资比例3.20%）及珠海银华汇玥投资合伙企业（有限合伙）（出资比例3.22%）。公司的主要业务是基金募集、基金销售、资产管理及中国证监会许可的其他业务。公司注册地为广东省深圳市。银华基金管理有限公司的法定名称已于2016年8月9日起变更为“银华基金管理股份有限公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治理结构完善，经营运作规范，能够切实维护基金投资人的利益。公司董事会下设“战略委员会”、“风险控制委员会”、“薪酬与提名委员会”、“审计委员会”四个专业委员会，有针对性地研究公司在经营管理和基金运作中的相关情况，制定相应的政策，并充分发挥独立董事的职能，切实加强对公司运作的监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公司监事会由4位监事组成，主要负责检查公司的财务以及对公司董事、高级管理人员的行为进行监督。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具体经营管理由总经理负责，公司根据经营运作需要设置权益投资管理部、多元策略投资管理部、固定收益投资管理部、养老金及多资产投资管理部、量化投资部、境外投资部、FOF投资管理部、研究部、产品开发与管理部、营销管理与服务部、渠道业务总部、机构业务总部、养老金业务总部、券商业务总部、交易管理部、风险管理部、运作保障部、信息技术部、互联网金融部、战略发展部、投资银行部、基础设施投资部、监察稽核部、内部审计部、党委办公室（党群工作部）、人力资源部、公司办公室、财务行政部、深圳管理部等职能部门，并设有北京分公司、上海分公司两家分公司，以及银华长安资本管理（北京）有限公司、深圳银华永泰创新投资有限公司和银华国际资本管理有限公司三家全资子公司。此外，公司设立投资决策委员会作为公司投资业务的最高决策机构，同时下设“主动型股票投资决策、固定收益投资决策、量化和境外投资决策、养老金投资决策、基金中基金投资决策、基金投资顾问投资决策、基础设施基金投资决策”七个专门委员会。公司投资决策委员会负责确定公司投资业务理念、投资政策及投资决策流程和风险管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（二）主要人员情况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1、基金管理人董事、监事、经理及其他高级管理人员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珠林先生：董事长，经济学博士。曾任甘肃省职工财经学院财会系讲师，甘肃省证券公司发行部经理，中国蓝星化学工业总公司处长，蓝星清洗股份有限公司董事、副总经理、董事会秘书，西南证券副总裁，中国银河证券副总裁，西南证券董事、总裁；还曾先后担任中国证监会发行审核委员会委员、中国证监会上市公司并购重组审核委员会委员、中国证券业协会投资银行业委员会委员、重庆市证券期货业协会会长、中国证券业协会绿色证券专业委员会副主任委员、中证机构间报价系统股份有限公司董事。现任公司董事长，兼任银华国际资本管理有限公司董事长、银华长安资本管理（北京）有限公司董事、中国上市公司协会并购融资委员会执行主任、中国证券业协会证券行业文化建设委员会顾问、深圳证券交易所理事会创业板股票发行规范委员会委员、中国退役士兵就业创业服务促进会副理事长。</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芳女士：董事，法学硕士、清华五道口金融EMBA。曾任大鹏证券有限责任公司法律支持部经理，第一创业证券有限责任公司首席律师、法律合规部总经理、合规总监、副总裁，第一创业证券股份有限公司副总裁、合规总监、常务副总裁。现任第一创业证券股份有限公司董事、总裁，第一创业证券承销保荐有限责任公司执行董事，深圳第一创业创新资本管理有限公司董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李福春先生：董事，中共党员，硕士研究生，高级工程师。曾任一汽集团公司发展部部长；吉林省经济贸易委员会副主任；吉林省发展和改革委员会副主任；长春市副市长；吉林省发展和改革委员会主任；吉林省政府党组成员、秘书长。现任东北证券股份有限公司党委委员、董事长，东证融汇证券资产管理有限公司董事，中国证券业协会第八届理事会理事，深圳证券交易所第六届理事会战略发展委员会委员，上海证券交易所第六届理事会政策咨询委员会委员，吉林省证券业协会会长、证券经营机构分会会长。</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赵天才先生：董事，计算机硕士、工商管理硕士。曾任西南大学图书馆系统管理员，重庆有价证券公司营业部系统管理员，西南证券有限责任公司重庆胜利路证券营业部交易主管、徐州淮海西路证券营业部业务总监、风险管理部总经理助理、合规与风险管理部总经理助理，西南证券股份有限公司合规与风险管理部总经理助理、风险控制部副总经理、风险控制部总经理、职工监事、合规部总经理、风险控制部总经理，西证股权投资有限公司董事、西证创新投资有限公司董事。现任西南证券股份有限公司合规总监、首席风险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立新先生：经济学博士，曾任职于中国工商银行总行、中国农村发展信托投资公司、南方证券股份有限公司、南方基金管理有限公司。现任银华基金管理股份有限公司董事、总经理，银华长安资本管理（北京）有限公司董事长，银华国际资本管理有限公司董事，银华基金投资决策委员会主任，兼任中国基金业协会兼职副会长。</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郑秉文先生：独立董事，经济学博士，教授，博士生导师。曾任中国社会科学院研究生院副院长，欧洲所副所长，拉美所所长和美国所所长，第十三届全国政协委员。现任中国社科院世界社保研究中心主任，中国社会科学院社会保障实验室首席专家，中国社科院大学政府管理学院教授、博士生导师，政府特殊津贴享受者，人力资源和社会保障部咨询专家委员会委员，在北京大学、中国人民大学、国家行政学院、武汉大学等十几所大学担任客座教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刘星先生：独立董事，管理学博士，中国注册会计师协会非执业会员，国务院“政府特殊津贴”获得者，全国先进会计（教育）工作者。曾任中国会计学会理事、中国会计学会教育分会会长、中国会计学会对外学术交流专业委员会副主任。现任重庆大学经济与工商管理学院会计学教授、博士生导师，中国企业管理协会常务理事，中国管理现代化研究会常务理事，中国优选法统筹与经济数学研究会常务理事，并担任电科芯片、重庆银行、丽江股份三家上市公司独立董事职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封和平先生：独立董事，会计学硕士，中国注册会计师。曾任职于财政部所属中华财务会计咨询公司，并历任安达信华强会计师事务所副总经理、合伙人，普华永道会计师事务所合伙人、北京主管合伙人，摩根士丹利中国区副主席；还曾担任中国证监会发行审核委员会委员、中国证监会上市公司并购重组审核委员会委员、第29届奥运会北京奥组委财务顾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李伟东先生：独立董事，法学博士。曾担任平安证券股份有限公司、华泰期货有限公司、福建海西金融租赁有限公司、深圳市美盈森集团股份有限公司、海控南海发展股份有限公司、深圳市联建光电股份有限公司、深圳市朗科科技股份有限公司独立董事职务。现任广东海派律师事务所主任，全面负责律师事务所管理，兼任中国国际经济贸易仲裁委员会和深圳国际仲裁院(华南国际经济贸易仲裁院）仲裁员、平潭综合试验区海峡两岸仲裁委员会仲裁员，以及陆金所控股、深圳市盐田港股份有限公司、远航港口发展有限公司、中国中药控股有限公司、深圳市英唐智能控制股份有限公司等上市公司独立董事职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东军先生：监事会主席，研究生，注册会计师、注册评估师。曾任天勤会计师事务所和中天勤会计师事务所合伙人，深圳同盛创业投资管理有限公司合伙人，日域（美国）国际工程有限公司财务部国际财务总监，深圳发展银行（现更名为平安银行）总行稽核部副总经理（主持工作），第一创业证券股份有限公司计划财务部负责人，第一创业证券股份有限公司董事会秘书，兼任第一创业证券承销保荐有限责任公司董事、第一创业期货有限责任公司监事、第一创业期货有限责任公司董事等职务。现任第一创业证券股份有限公司副总裁兼财务总监、第一创业投资管理有限公司董事、深圳第一创业创新资本管理有限公司董事长兼总经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李军先生：监事，管理学博士，中共党员。曾任西南证券有限责任公司成都营业部总经理助理、业务总监、经纪业务部副总经理，重庆市国资委副处长、处长兼重庆渝富资产经营管理集团有限公司外部董事，西南期货有限公司董事，公司经纪业务事业部执行总裁兼运营管理部总经理，西证创新投资有限公司董事。现任西南证券股份有限公司党委委员、董事、副总经理、董事会秘书，重庆市证券期货业协会会长。</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龚飒女士：监事，硕士学位，注册会计师，高级会计师。曾任湘财证券有限责任公司分支机构财务负责人，泰达荷银基金管理有限公司基金事业部副总经理（主持工作），湘财证券有限责任公司稽核经理，交银施罗德基金管理有限公司运营部总经理，银华基金管理股份有限公司运作保障部总监、机构业务部总监。现任公司业务副总经理兼养老金业务总部总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杜永军先生：监事，大专学历。曾任五洲大酒店财务部主管，北京赛特饭店财务部主管、主任、经理助理、副经理、经理，银华基金管理股份有限公司财务行政部总监助理。现任公司财务行政部副总监。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徐波先生：副总经理，北京大学工商管理硕士。自2002年起，先后任职于全国社会保障基金理事会、中国文化产业投资母基金管理有限公司。现任公司副总经理、投资决策委员会副主任。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凌宇翔先生：副总经理，工商管理硕士。曾任职于机械工业部、西南证券有限责任公司。2001年起任银华基金管理有限公司督察长。现任公司副总经理。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周毅先生：副总经理，CFA，硕士学位，国家特聘专家。现任银华基金副总经理、银华国际资本总经理，分管指数基金投资、数量化投资、境外投资及国际业务。周毅先生毕业于中国北京大学、美国南卡罗莱纳大学、美国约翰霍普金斯大学，拥有23年证券从业经验。回国加入银华基金前，先后在美国普华永道金融部，巴克莱资本，巴克莱亚太集团等金融机构从事数量化投资工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杨文辉先生：督察长，法学博士。曾任职于北京市水利经济发展有限公司、中国证监会。现任银华基金管理股份有限公司督察长，兼任银华长安资本管理（北京）有限公司董事、银华国际资本管理有限公司董事，深圳市银华公益基金会理事长。</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苏薪茗先生：副总经理，博士研究生，获得中国政法大学法学学士、清华大学法律硕士、英国剑桥大学哲学硕士、中国社会科学院研究生院经济学博士（金融学专业）学位。曾先后担任福建日报社要闻采访部记者，中国银监会政策法规部创新处主任科员，中国银监会创新监管部综合处副处长，中国银监会创新监管部产品创新处处长，中国银监会湖北银监局副局长。现任公司副总经理、银华长安资本管理（北京）有限公司董事、银华国际资本管理有限公司董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邓列军先生：首席信息官，清华大学软件工程硕士。曾在汇添富基金管理股份有限公司先后任职信息技术部总监助理、副总监、总监，浦银安盛基金管理有限公司任职副总经理兼首席信息官。现任银华基金管理股份有限公司首席信息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郑蓓雷女士：财务负责人，工商管理硕士。曾就职于中国贸促会北京分会、搜狐公司、中国网通公司、西南证券、红塔证券。2011年6月加入银华基金，历任人力资源部副总监、总监、总经理助理。现任公司财务负责人兼人力资源部总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勇先生：董事会秘书，管理学博士。曾任职于西南证券股份有限公司。现任公司董事会秘书、投资银行部总监、党委办公室（党群工作部）主任、公司办公室副总监，兼任银华国际资本管理有限公司董事、副总经理，银华长安资本管理（北京）有限公司监事、深圳银华永泰创新投资有限公司监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2、本基金基金经理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斌先生,大学本科。曾就职于毕马威会计师事务所、中国国际金融有限公司。2011年4月加入银华基金。现任多元策略投资管理部基金经理。自2016年02月06日起至2017年06月08日担任"银华逆向投资灵活配置定期开放混合型发起式证券投资基金"基金经理,自2016年02月06日起至2025年06月26日担任"银华回报灵活配置定期开放混合型发起式证券投资基金"基金经理,自2019年02月28日起至2022年05月26日兼任"银华远见混合型发起式证券投资基金"基金经理,自2022年03月31日起至2024年04月01日兼任"银华稳利灵活配置混合型证券投资基金"基金经理,自2024年06月19日起兼任"银华嘉选平衡混合型发起式证券投资基金"基金经理,自2025年02月12日起兼任"银华鑫盛灵活配置混合型证券投资基金（LOF）"基金经理。具有从业资格。国籍：中国。</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本基金历任基金经理：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王鑫钢先生,自2018年10月15日起至2019年12月23日期间担任本基金基金经理。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王海峰先生,自2018年10月15日起至2025年03月31日期间担任本基金基金经理。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3、公司投资决策委员会成员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委员会主任：王立新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委员会副主任：徐波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委员：周毅、王华、李晓星、吴伟、于蕾、董岚枫、杨宇、倪明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王立新先生：详见主要人员情况。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徐波先生：详见主要人员情况。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周毅先生：详见主要人员情况。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王华先生：高级董事总经理，经济学硕士。曾就职于西南证券有限责任公司。 2000年10月加入银华基金（筹），历任基金经理、总经理助理，现任公司业务副总经理、主动型股票投资决策专门委员会联席主任、A股基金投资总监、多元策略投资管理部总监、社保和基本养老组合投资经理、投资经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李晓星先生：北京理工大学学士、英国帝国理工大学工程硕士、英国剑桥大学工学硕士。曾就职于ABB（中国）有限公司。2011年3月加入银华基金，历任研究部助理行业研究员、投资管理部基金经理助理、投资管理一部基金经理，现任公司业务副总经理、权益投资管理部投资总监、基金经理、投资经理（社保基本养老）、主动型股票投资决策专门委员会联席主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吴伟先生：金融学硕士。曾先后担任中国银行北京市分行副科长、卢森堡分行副经理，中国民生银行资产管理部副总经理、民生理财有限责任公司副总裁等职务。现任公司业务副总经理。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蕾女士：业务副总经理，经济学硕士。曾就职于中国人寿资产管理有限公司、中国人寿养老保险股份有限公司。2024年4月加入银华基金管理股份有限公司，现任公司业务副总经理、养老金及多资产投资管理部总监、FOF投资管理部总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董岚枫先生：清华大学工学学士、硕士、博士。曾就职于中国五矿集团。2010年10月加入银华基金，历任研究部助理行业研究员、行业研究员、研究组长、研究部总监助理、副总监、总监、总经理助理，现任公司业务副总经理兼研究部总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杨宇先生：中央财经大学经济学硕士。历任CCTV证券资讯频道主持人、制片人，新浪仓石基金销售有限公司高级基金研究员，北京恒天明泽基金销售有限公司研究产品部经理，银华基金电子商务部高级经理，华宝证券首席财富官。现任公司基金投资顾问投资决策专门委员会主任、资产配置与投顾服务委员会办公室主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倪明先生：经济学博士。曾在大成基金管理有限公司从事研究分析工作，历任债券信用分析师、债券基金助理、行业研究员、股票基金助理等职，并曾任大成创新成长混合型证券投资基金基金经理职务。2011年4月加盟银华基金管理有限公司，曾任投资管理一部副总监兼基金经理。现任研究部副总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4、上述人员之间均不存在近亲属关系。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 基金管理人的权利与义务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1、根据《基金法》、《运作办法》及其他有关规定，基金管理人的权利包括但不限于：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（6）依据基金合同及有关法律规定监督基金托管人，如认为基金托管人违反了基金合同及国家有关法律规定，应呈报中国证监会和其他监管部门，并采取必要措施保护基金投资人的利益；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（11）在基金合同约定的范围内，拒绝或暂停受理申购、赎回和转换申请；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（12）依照法律法规为基金的利益对被投资公司行使股东权利，为基金的利益行使因基金财产投资于证券所产生的权利；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（15）选择、更换律师事务所、会计师事务所、证券/期货经纪商或其他为基金提供服务的外部机构；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（16）在符合有关法律、法规的前提下，制订和调整有关基金认购、申购、赎回、转换、转托管等业务的规则；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（17）法律法规及中国证监会规定的和基金合同约定的其他权利。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2、根据《基金法》、《运作办法》及其他有关规定，基金管理人的义务包括但不限于：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（1）依法募集资金，办理或者委托经中国证监会认定的其他机构代为办理基金份额的发售、申购、赎回和登记事宜；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（8）采取适当合理的措施使计算基金份额认购、申购、赎回和注销价格的方法符合基金合同等法律文件的规定，按有关规定计算并公告基金净值信息，确定各类基金份额申购、赎回的价格；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法律法规或监管机构另有规定或要求外，在基金信息公开披露前应予保密，不向他人泄露，因审计、法律等外部专业顾问提供服务而向其提供的情况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（13）按基金合同的约定确定基金收益分配方案，及时向基金份额持有人分配基金收益；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（14）按规定受理申购与赎回申请，及时、足额支付赎回款项；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（15）依据《基金法》、基金合同及其他有关规定召集基金份额持有人大会或配合基金托管人、基金份额持有人依法召集基金份额持有人大会；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（16）按规定保存基金财产管理业务活动的会计账册、报表、记录和其他相关资料15年以上；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（24）基金管理人在募集期间未能达到基金的备案条件，基金合同不能生效，基金管理人承担全部募集费用，将已募集资金并加计银行同期活期存款利息（税后）在基金募集期结束后30日内退还基金认购人；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（27）法律法规及中国证监会规定的和基金合同约定的其他义务。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（四）基金管理人承诺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1.本基金管理人将根据基金合同的规定，按照招募说明书列明的投资目标、策略及限制全权处理本基金的投资。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2.本基金管理人不从事违反《中华人民共和国证券法》的行为，并建立健全内部控制制度，采取有效措施，防止违反《中华人民共和国证券法》行为的发生。</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3.本基金管理人不从事违反《基金法》的行为，并建立健全内部控制制度，采取有效措施，防止下列行为的发生：</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（1）以基金的名义使用不属于基金名下的资金买卖证券；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（2）动用银行信贷资金从事证券买卖；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（3）违反规定将基金资产向他人贷款或者提供担保；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（4）从事证券信用交易（法律法规、基金合同和中国证监会另有规定的除外）；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（5）以基金资产进行房地产投资；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（6）从事有可能使基金承担无限责任的投资；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（7）从事证券承销行为；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（8）违反证券交易业务规则，利用对敲、倒仓等行为来操纵和扰乱市场价格；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（9）进行高位接盘、利益输送等损害基金份额持有人利益的行为；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（10）通过股票投资取得对上市公司的控制权；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（11）因基金投资股票而参加上市公司股东大会的、与上市公司董事会或其他持有5%以上投票权的股东恶意串通，致使股东大会表决结果侵犯社会公众股东的合法利益；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（12）法律、法规及监管机关规定禁止从事的其他行为。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4.本基金管理人将加强人员管理，强化职业操守，督促和约束员工遵守国家有关法律、法规及行业规范，诚实信用、勤勉尽责，不从事以下行为：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（1）越权或违规经营，违反基金合同或托管协议；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（2）故意损害基金份额持有人或其他基金相关机构的合法利益；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（3）在向中国证监会报送的材料中弄虚作假；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（4）拒绝、干扰、阻挠或严重影响中国证监会依法监管；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（5）玩忽职守、滥用职权，不按照规定履行职责；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（6）泄漏在任职期间知悉的有关证券、基金的商业秘密、尚未依法公开的基金投资内容、基金投资计划等信息，或利用该信息从事或者明示、暗示他人从事相关的交易活动；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（7）其他法律、行政法规以及中国证监会禁止的行为。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5.基金经理承诺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（2）不利用职务之便为自己及其代理人、代表人、受雇人或任何第三人谋取利益；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（3）不泄漏在任职期间知悉的有关证券、基金的商业秘密、尚未依法公开的基金投资内容、基金投资计划等信息，或利用该信息从事或者明示、暗示他人从事相关的交易活动；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（五）基金管理人的风险管理体系和内部控制制度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1.风险管理体系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运作过程中面临的风险主要包括市场风险、信用风险、流动性风险、操作或技术风险、合规性风险、声誉风险和外部风险。针对上述各种风险，基金管理人建立了一套完整的风险管理体系，具体包括以下内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（1）建立风险管理环境。具体包括制定风险管理战略、目标，设置相应的组织机构，配备相应的人力资源与技术系统，设定风险管理的时间范围与空间范围等内容。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（2）识别风险。辨识组织系统与业务流程中存在什么样的风险，为什么会存在以及如何引起风险。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（3）分析风险。检查存在的控制措施，分析风险发生的可能性及其引起的后果。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度量风险。评估风险水平的高低，既有定性的度量手段，也有定量的度量手段。定性的度量是把风险水平划分为若干级别，每一种风险按其发生的可能性与后果的严重程度分别进入相应的级别。定量的方法则是设计一些风险指标，测量其数值的大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处理风险。将风险水平与既定的标准相对比，对于那些级别较低的风险，则承担它，但需加以监控。而对较为严重的风险，则实施一定的管理计划，对于一些后果极其严重的风险，则准备相应的应急处理措施。</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（6）监视与检查。对已有的风险管理系统要监视及评价其管理绩效，在必要时适时加以改变。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（7）报告与咨询。建立风险管理的报告系统，使公司股东、公司董事会、公司高级管理人员及监管部门了解公司风险管理状况，并寻求咨询意见。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2.内部控制制度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（1）内部控制的原则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1）全面性原则。内部控制制度覆盖公司的各项业务、各个部门和各级人员，并渗透到决策、执行、监督、反馈等各个经营环节。</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2）独立性原则。公司设立独立的督察长与监察稽核部门，并使它们保持高度的独立性与权威性。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3）相互制约原则。公司部门和岗位的设置权责分明、相互牵制，并通过切实可行的相互制衡措施来消除内部控制中的盲点。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4）有效性原则。公司的内部风险控制工作必须从实际出发，主要通过对工作流程的控制，进而达到对各项经营风险的控制。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5）防火墙原则。公司的投资管理、基金运作、计算机技术系统等相关部门，在物理上和制度上适当隔离。对因业务需要知悉内幕信息的人员，制定严格的批准程序和监督处罚措施。</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6）适时性原则。公司内部风险控制制度的制定，应具有前瞻性，并且必须随着公司经营战略、经营方针、经营理念等内部环境的变化和国家法律、法规、政策制度等外部环境的改变及时进行相应的修改和完善。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（2）内部控制的主要内容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1）控制环境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董事会重视建立完善的公司治理结构与内部控制体系。基金管理人在董事会下设立了风险控制委员会，负责针对公司在经营管理和基金运作中的风险进行研究并制定相应的控制制度。在特殊情况下，风险控制委员会可依据其职权，在上报董事会的同时，对公司业务进行一定的干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公司管理层在总经理领导下，认真执行董事会确定的内部控制战略，为了有效贯彻公司董事会制定的经营方针及发展战略，设立了投资决策委员会，就基金投资等发表专业意见及建议。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此外，公司设有督察长，组织指导公司的监察与稽核工作，对公司和基金运作的合法性、合规性进行全面检查与监督，发生重大合规事件时向公司董事长和中国证监会报告。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2）风险评估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公司风险控制人员定期评估公司风险状况，范围包括所有能对经营目标产生负面影响的内部和外部因素，评估这些因素对公司总体经营目标产生影响的程度及可能性，并将评估报告报公司董事会及高层管理人员。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3）操作控制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内部组织结构的设计方面，体现部门之间职责有分工，但部门之间又相互合作与制衡的原则。基金投资管理、基金运作、市场等业务部门有明确的授权分工，各部门的操作相互独立，并且有独立的报告系统。各业务部门之间相互核对、相互牵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各业务部门内部工作岗位分工合理、职责明确，形成相互检查、相互制约的关系，以减少舞弊或差错发生的风险，各工作岗位均制定有相应的书面管理制度。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在明确的岗位责任制度基础上，设置科学、合理、标准化的业务操作流程，每项业务操作有清晰、书面化的操作手册，同时，规定完备的处理手续，指定人员进行处理。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4）信息与沟通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公司建立了内部办公自动化信息系统与业务汇报体系，通过建立有效的信息交流渠道，保证公司员工及各级管理人员可以充分了解与其职责相关的信息，保证信息及时送达适当的人员进行处理。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5）监督与内部稽核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设立了独立于各业务部门的监察稽核部，其中监察稽核人员履行内部稽核职能，检查、评价公司内部控制制度合法合规性。监察稽核人员具有相对的独立性，定期出具合规报告，报公司督察长、董事会及中国证监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（3）基金管理人关于内部控制制度的声明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1）基金管理人确知建立、实施和维持内部控制制度是基金管理人董事会及管理层的责任；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2）上述关于内部控制制度的披露真实、准确；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3）基金管理人承诺将根据市场环境的变化及基金管理人的发展不断完善内部控制制度。</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7" w:name="_Toc218779105"/>
      <w:r>
        <w:rPr>
          <w:rFonts w:ascii="宋体" w:hAnsi="宋体"/>
          <w:sz w:val="30"/>
        </w:rPr>
        <w:t>四、基金托管人</w:t>
      </w:r>
      <w:bookmarkEnd w:id="7"/>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（一）基金托管人基本情况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名称：中国工商银行股份有限公司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注册地址：北京市西城区复兴门内大街55号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成立时间：1984年1月1日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廖林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注册资本：人民币35,640,625.7089万元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联系电话：010-66105799</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联系人：郭明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（二）主要人员情况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截至2025年9月，中国工商银行资产托管部共有员工209人，平均年龄38岁，99%以上员工拥有大学本科以上学历，高管人员均拥有研究生以上学历或高级技术职称。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（三）基金托管业务经营情况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2025年9月，中国工商银行共托管证券投资基金1512只。自2003年以来，本行连续二十二年获得香港《亚洲货币》、英国《全球托管人》、香港《财资》、美国《环球金融》、内地《证券时报》、《上海证券报》等境内外权威财经媒体评选的110项最佳托管银行大奖；是获得奖项最多的国内托管银行，优良的服务品质获得国内外金融领域的持续认可和广泛好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（四）基金托管人的内部控制情况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工商银行资产托管部在风险管理的实操过程中根据国际公认的内部控制COSO准则从内部环境、风险评估、控制活动、信息与沟通、监督与评价五个方面构建起了托管业务内部风险控制体系，并纳入统一的风险管理体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工商银行资产托管部从成立之日起始终秉持规范运作的原则，将建立系统、高效的风险防范和控制体系视为工作重点。随着市场环境的变化和托管业务的快速发展，新问题新情况的不断出现，资产托管部自始至终将风险管理置于与业务发展同等重要的位置，视风险防范和控制为托管业务生存与发展的生命线。资产托管部实施全员风险管理，将风险控制责任落实到具体业务部门和相关业务岗位，每位员工均有义务对自己岗位职责范围内的风险负责。从2005年至今，中国工商银行资产托管部共十八次顺利通过评估组织内部控制和安全措施最权威的ISAE3402审阅，全部获得无保留意见的控制及有效性报告，充分表明独立第三方对中国工商银行托管服务在风险管理、内部控制方面的健全性和有效性的全面认可，也证明中国工商银行托管服务的风险控制能力已经与国际大型托管银行接轨，达到国际先进水平。</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1.内部控制目标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（1）资产托管业务经营管理合法合规；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（2）促进实现资产托管业务发展战略和经营目标；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（3）资产托管业务风险管理的有效性和资产安全；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（4）提高资产托管经营效率和效果；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（5）业务记录、会计信息和其他经营管理相关信息的真实、准确、完整、及时。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2.内部控制的原则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（1）全面性原则。资产托管业务内部控制应贯穿决策、执行和监督全过程，覆盖资产托管业务各项业务流程和管理活动，覆盖所有机构、部门和从业人员。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（2）重要性原则。资产托管业务内部控制应在全面控制基础上，关注重要业务事项、重点业务环节和高风险领域。</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（3）制衡性原则。资产托管业务内部控制应在机构设置、权责分配及业务流程等方面形成相互制约、相互监督的机制，同时兼顾运营效率。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（4）适应性原则。资产托管业务内部控制应当与经营规模、业务范围和风险特点相适应，并进行动态调整，以合理成本实现内部控制目标。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（5）审慎性原则。资产托管业务内部控制应坚持风险为本、审慎经营的理念，设立机构或开展各项经营管理活动均应坚持内控优先。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（6）成本效益原则。资产托管业务内部控制应权衡实施成本与预期效益，以合理成本实现有效控制。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3.内部控制组织结构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资产托管业务内部控制纳入全行统一的内部控制体系。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总行资产托管部根据内部控制基本规定建立健全资产托管业务内部控制体系，作为全行托管业务的牵头管理部门，根据行内内部控制基本规定建立健全内部控制体系，建立与托管业务条线相适应的内部控制运行机制，确定各项业务活动的风险控制点，制定标准统一的业务制度；采取适当的控制措施，合理保证托管业务流程的经营效率和效果，组织开展资产托管业务内部控制措施的执行、监督和检查，督促各机构落实控制措施。</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总行内控合规部负责指导托管业务的内控管理工作，根据年度工作重点，定期或不定期在全行开展相关业务监督检查，将托管业务检查项目整合到全行业务监督检查工作中，将全行托管业务纳入内控评价体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（3）总行内部审计局负责对资产托管业务的审计与评价工作。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（4）一级（直属）分行资产托管业务部门作为内部控制的执行机构，负责组织开展本机构内部控制的日常运行及自查工作，及时整改、纠正、处理存在的问题。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4.内部控制措施</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工商银行资产托管部重视内部控制制度的建设，坚持把风险防范和控制的理念和方法融入岗位职责、制度建设和工作流程中，建立了一整套内部控制制度体系，包括《资产托管业务管理规定》、《资产托管业务内部控制管理办法》、《资产托管业务全面风险管理办法》、《资产托管业务营运管理办法》、《资产托管业务合同管理办法》、《资产托管业务档案管理办法》、《资产托管业务系统管理办法》、《资产托管业务重大突发事件应急预案》、《资产托管业务从业人员管理办法》等，在环境、制度、流程、岗位职责、人员、授权、创新、合同、印章、服务质量、收费、反洗钱、防止利益冲突、业务连续性、考核、信息系统等全方面执行内部控制措施。</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5.风险控制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业务切实履行风险管理第一道防线的主体职责，按照“主动防、智能控、全面管”的管理思路，主动将资产托管业务的风险管理纳入全行全面风险管理体系，以“管住人、管住钱、管好防线、管好底线”为管理重点，搭建适应资产托管业务特点的风险管理架构，通过推进托管业务体制机制与完善集约化营运改革、建立资产托管风险管理委员会机制、完善资产托管业务制度体系、加强资产托管业务队伍建设、科技赋能、建立健全应急灾备体系、建立审计发现问题整改台账、加强人员管理等措施，有效控制操作风险、合规风险、声誉风险、信息科技风险和次生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6.业务连续性保障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工商银行制订了完善的资产托管业务连续性工作计划和应急预案，具备行之有效的灾备恢复方案、充足的移动办公设备、同城异城相结合的备份办公场所、必要的工作人员、科学清晰的AB岗位设置及定期演练机制。在重大突发事件发生后，可根据突发事件的对托管业务连续性营运影响程度的评估，适时选择或依次启动“原场所现场+居家”、“部分同城异地+居家”、“部分异城异地+居家”、“异地全部切换”四种方案，由“总部+总行级营运中心+托管分部+境外营运机构”形成全球、全天候营运网络，向客户提供连续性服务，确保托管产品日常交易的及时清算和交割。</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（五）基金托管人对基金管理人运作基金进行监督的方法和程序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基金托管人发现基金管理人有重大违规行为，应立即报告中国证监会，同时通知基金管理人限期纠正。</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8" w:name="_Toc218779106"/>
      <w:r>
        <w:rPr>
          <w:rFonts w:ascii="宋体" w:hAnsi="宋体"/>
          <w:sz w:val="30"/>
        </w:rPr>
        <w:t>五、相关服务机构</w:t>
      </w:r>
      <w:bookmarkEnd w:id="8"/>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1、场外销售机构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（1）银华基金管理股份有限公司北京直销中心</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北京市东城区东长安街1号东方广场东方经贸城C2办公楼3层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010-58162950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传真</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010-58162951</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展璐</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（2）银华基金管理股份有限公司网上直销交易系统</w:t>
      </w:r>
    </w:p>
    <w:tbl>
      <w:tblPr>
        <w:tblW w:w="5000" w:type="pct"/>
        <w:tblLayout w:type="fixed"/>
        <w:tblCellMar>
          <w:left w:w="0" w:type="dxa"/>
          <w:right w:w="0" w:type="dxa"/>
        </w:tblCellMar>
        <w:tblLook w:val="0000" w:firstRow="0" w:lastRow="0" w:firstColumn="0" w:lastColumn="0" w:noHBand="0" w:noVBand="0"/>
      </w:tblPr>
      <w:tblGrid>
        <w:gridCol w:w="1725"/>
        <w:gridCol w:w="6945"/>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网上交易网址</w:t>
            </w:r>
          </w:p>
        </w:tc>
        <w:tc>
          <w:tcPr>
            <w:tcW w:w="16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https://trade.yhfund.com.cn/yhxntrade</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移动端站点</w:t>
            </w:r>
          </w:p>
        </w:tc>
        <w:tc>
          <w:tcPr>
            <w:tcW w:w="16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请到基金管理人官方网站或各大移动应用市场下载“银华生利宝”手机APP或关注“银华基金”官方微信公众号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客户服务电话</w:t>
            </w:r>
          </w:p>
        </w:tc>
        <w:tc>
          <w:tcPr>
            <w:tcW w:w="16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010-85186558，4006783333</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投资人可以通过基金管理人网上直销交易系统办理本基金的开户和认购手续，具体交易细则请参阅基金管理人网站公告。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2）其他场外销售机构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A类份额其他销售机构: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（1）兴业银行股份有限公司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福州市湖东路154号中山大厦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吕家进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95561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www.cib.com.cn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（2）中国邮政储蓄银行股份有限公司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北京市西城区金融大街3号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郑国雨</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95580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www.psbc.com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（3）中信银行股份有限公司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北京市朝阳区光华路10号院1号楼6-30层、32-42层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方合英</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95558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www.citicbank.com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（4）中国农业银行股份有限公司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北京市东城区建国门内大街69号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谷澍</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95599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www.abchina.com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（5）中国民生银行股份有限公司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北京市西城区复兴门内大街2号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高迎欣</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95568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www.cmbc.com.cn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（6）中国建设银行股份有限公司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北京市西城区金融大街25号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张金良</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95533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www.ccb.com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（7）中国工商银行股份有限公司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北京市西城区复兴门内大街55号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廖林</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www.icbc.com.cn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（8）上海银行股份有限公司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上海市黄浦区中山南路688号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顾建忠</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95594</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www.bosc.cn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（9）上海浦东发展银行股份有限公司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上海市浦东新区浦东南路500号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郑杨</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95528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www.spdb.com.cn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（10）上海农村商业银行股份有限公司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上海市浦东新区银城中路8号15-20楼、22-27楼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冀光恒</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021-962999；400-696-2999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www.srcb.com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（11）青岛银行股份有限公司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青岛市市南区香港中路68号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郭少泉</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96588（青岛）；400-669-6588（全国）</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www.qdccb.com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（12）平安银行股份有限公司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中国深圳市深南东路5047号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谢永林</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95511-3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bank.pingan.com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（13）宁波银行股份有限公司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宁波市鄞州区宁南南路700号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陆华裕</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95574</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www.nbcb.com.cn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（14）交通银行股份有限公司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中国（上海）自由贸易试验区银城中路188号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任德奇</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95559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www.bankcomm.com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（15）华夏银行股份有限公司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北京市东城区建国门内大街22号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杨书剑</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www.hxb.com.cn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（16）东莞银行股份有限公司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东莞市莞城区体育路21号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卢国锋</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956033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www.dongguanbank.cn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（17）东莞农村商业银行股份有限公司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广东省东莞市东城区鸿福东路2号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王耀球</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0769-961122</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www.drcbank.com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（18）中国光大银行股份有限公司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北京市西城区太平桥大街25号、甲25号中国光大中心</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95595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www.cebbank.com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（19）中国银行股份有限公司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北京市西城区复兴门内大街1号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葛海蛟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95566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www.boc.cn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（20）招商银行股份有限公司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深圳市福田区深南大道7088号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缪建民</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95555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www.cmbchina.com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（21）江苏银行股份有限公司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南京市中华路26号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夏平</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95319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www.jsbchina.cn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（22）杭州银行股份有限公司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杭州市庆春路46号杭州银行大厦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吴太普</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0571-96523；400-888-8508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www.hzbank.com.cn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（23）爱建证券有限责任公司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上海市世纪大道1600号32楼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祝健</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956021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http://www.ajzq.com/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（24）国元证券股份有限公司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安徽省合肥市梅山路18号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沈和付</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95578/400-888-8777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www.gyzq.com.cn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（25）广发证券股份有限公司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广东省广州市黄埔区中新广州知识城腾飞一街2号618室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林传辉</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95575或致电各地营业网点</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http://www.gf.com.cn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（26）中天证券股份有限公司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辽宁省沈阳市和平区光荣街23号甲</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李安有</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95346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www.iztzq.com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（27）中山证券有限责任公司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深圳市南山区粤海街道蔚蓝海岸社区创业路1777号海信南方大厦21层、22层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吴小静</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95329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http://www.zszq.com/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（28）中国中金财富证券有限公司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深圳市南山区粤海街道海珠社区科苑南路2666号中国华润大厦L4601-L4608</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王建力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95532</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https://www.ciccwm.com/ciccwmweb/</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（29）中国银河证券股份有限公司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北京市丰台区西营街8号院1号楼7至18层101</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陈亮</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400-888-8888；95551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www.chinastock.com.cn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（30）国泰海通证券股份有限公司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上海市浦东新区自由贸易试验区商城路618号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朱健</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95521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www.gtht.com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（31）中信证券华南股份有限公司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广州市天河区临江大道395号901室（部位：自编01号）1001室（部位：自编01号）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陈可可</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95548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http://www.gzs.com.cn/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（32）中信证券股份有限公司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广东省深圳市福田区中心三路8号卓越时代广场（二期）北座</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张佑君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95548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http://www.citics.com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（33）中信期货有限公司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深圳市福田区中心三路8号卓越时代广场（二期）北座13层1301-1305室、14层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张皓</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400-990-8826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www.citicsf.com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（34）浙商证券股份有限公司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浙江省杭州市上城区五星路201号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钱文海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95345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https://www.stocke.com.cn/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（35）招商证券股份有限公司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深圳市福田区福田街道福华一路111号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霍达</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95565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http://www.cmschina.com/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（36）粤开证券股份有限公司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广州经济技术开发区科学大道60号开发区金控中心21、22、23层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严亦斌</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95564</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http://www.ykzq.com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（37）英大证券有限责任公司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深圳市福田区深南中路华能大厦30、31层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吴骏</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4000-188-688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www.ydsc.com.cn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（38）兴业证券股份有限公司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福州市湖东路268号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杨华辉</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95562</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http://www.xyzq.com.cn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（39）信达证券股份有限公司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北京市西城区闹市口大街9号院1号楼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祝瑞敏</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400-800-8899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http://www.cindasc.com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（40）湘财证券股份有限公司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长沙市天心区湘府中路198号新南城商务中心A栋11楼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高振营</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95351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http://www.xcsc.com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（41）西南证券股份有限公司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重庆市江北区金沙门路32号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姜栋林</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95355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http://www.swsc.com.cn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（42）五矿证券有限公司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深圳市福田区金田路4028号荣超经贸中心办公楼47层01单元</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赵立功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400-184-0028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www.wkzq.com.cn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（43）万联证券股份有限公司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广州市天河区珠江东路11号18、19楼全层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王达</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95322</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http://www.wlzq.com.cn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（44）申万宏源证券有限公司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上海市徐汇区长乐路989号45层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杨玉成</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95523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http://www.swhysc.com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（45）申万宏源西部证券有限公司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新疆乌鲁木齐市高新区（新市区）北京南路358号大成国际大厦20楼2005室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王献军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95523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http://www.swhysc.com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（46）上海证券有限责任公司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上海市黄浦区四川中路213号7楼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李俊杰</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021-962518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www.shzq.com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（47）山西证券股份有限公司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太原市府西街69号山西国际贸易中心东塔楼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王怡里</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http://www.i618.com.cn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（48）天风证券股份有限公司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湖北省武汉市东湖新技术开发区关东园路2号高科大厦4楼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余磊</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95391；400-800-5000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www.tfzq.com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（49）太平洋证券股份有限公司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云南省昆明市北京路926号同德广场写字楼31楼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李长伟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95397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www.tpyzq.com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（50）华泰证券股份有限公司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江苏省南京市建邺区江东中路228号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95597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www.htsc.com.cn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（51）华龙证券股份有限公司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兰州市城关区东岗西路638号兰州财富中心21楼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祁建邦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95368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www.hlzq.com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（52）华林证券股份有限公司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西藏自治区拉萨市柳梧新区国际总部城3幢1单元5层5号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林立</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全国统一客服热线400-188-3888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www.chinalin.com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（53）华福证券有限责任公司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福建省福州市鼓楼区鼓屏路27号1#楼3层、4层、5层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苏军良</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95547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http://www.hfzq.com.cn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（54）平安证券股份有限公司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深圳市福田区福田街道益田路5023号平安金融中心B座第22-25层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何之江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95511-8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https://stock.pingan.com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（55）开源证券股份有限公司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西安市高新区锦业路1号都市之门B座5层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李刚</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400-860-8866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www.kysec.cn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（56）金元证券股份有限公司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海口市南宝路36号证券大厦4楼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陆涛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95372</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http://www.jyzq.cn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（57）江海证券有限公司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黑龙江省哈尔滨市香坊区赣水路56号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赵洪波</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956007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www.jhzq.com.cn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（58）华鑫证券有限责任公司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深圳市福田区莲花街道福中社区深南大道2008号中国凤凰大厦1栋20C-1房</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俞洋</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95323；400-109-9918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www.cfsc.com.cn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（59）恒泰证券股份有限公司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内蒙古自治区呼和浩特市新城区海拉尔东街满世尚都办公商业综合楼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祝艳辉</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0471-4960762</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http://www.cnht.com.cn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（60）国新证券股份有限公司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北京市西城区车公庄大街4号2幢1层A2112室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张海文</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95390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https://www.crsec.com.cn/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（61）国联民生证券股份有限公司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无锡市金融一街8号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顾伟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www.glsc.com.cn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（62）国金证券股份有限公司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成都市青羊区东城根上街95号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冉云</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95310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http://www.gjzq.com.cn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（63）国都证券股份有限公司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北京市东城区东直门南大街3号国华投资大厦9层、10层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翁振杰</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400-818-8118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www.guodu.com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（64）光大证券股份有限公司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上海市静安区新闸路1508号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刘秋明</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95525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http://www.ebscn.com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（65）东莞证券股份有限公司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东莞市莞城区可园南路一号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潘海标</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95328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http://www.dgzq.com.cn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（66）东吴证券股份有限公司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苏州市工业园区星阳街5号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范力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95330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http://www.dwzq.com.cn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（67）华宝证券股份有限公司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中国（上海）自由贸易试验区浦电路370号2、3、4层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刘加海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400-820-9898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http://www.cnhbstock.com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（68）国投证券股份有限公司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深圳市福田区福田街道福华一路119号安信金融大厦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王苏望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95517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www.sdicsc.com.cn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（69）东海证券股份有限公司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江苏省常州市延陵西路23号投资广场18层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王文卓</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95531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http://www.longone.com.cn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（70）东方证券股份有限公司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上海市黄浦区中山南路119号东方证券大厦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龚德雄</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95503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http://www.dfzq.com.cn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（71）东北证券股份有限公司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吉林省长春市生态大街6666号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李福春</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95360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http://www.nesc.cn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（72）第一创业证券股份有限公司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深圳市福田区福华一路115号投行大厦20楼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刘学民</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95358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www.firstcapital.com.cn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（73）德邦证券股份有限公司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山东省济南市历下区姚家街道山左路1851号山东财金大厦9层901-910室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梁雷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400-888-8128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www.tebon.com.cn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（74）大同证券有限责任公司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山西省大同市平城区迎宾街15号桐城中央21层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董祥</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400-712-1212</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www.dtsbc.com.cn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（75）大通证券股份有限公司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辽宁省大连市沙河口区会展路129号大连国际金融中心A座-大连期货大厦38、39层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赵玺</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4008-169-169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www.daton.com.cn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（76）诚通证券股份有限公司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北京市海淀区北三环西路99号院1号楼15层1501</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张威</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95399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www.cctgsc.com.cn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（77）长江证券股份有限公司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湖北省武汉市江汉区淮海路88号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刘正斌</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https://www.95579.com/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（78）渤海证券股份有限公司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天津经济技术开发区第二大街42号写字楼101室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安志勇</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956066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http://www.ewww.com.cn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（79）中信证券(山东)有限责任公司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山东省青岛市崂山区深圳路222号1号楼2001</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肖海峰</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95548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http://sd.citics.com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（80）财通证券股份有限公司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浙江省杭州市西湖区天目山路198号财通双冠大厦西楼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章启诚</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95336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http://www.ctsec.com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（81）西部证券股份有限公司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陕西省西安市新城区东新街319号8幢10000室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徐朝晖</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95582</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http://www.westsecu.com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（82）华安证券股份有限公司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合肥市政务文化新区天鹅湖路198号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章宏韬</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95318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http://www.hazq.com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（83）南京证券股份有限公司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南京市江东中路389号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步国旬</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95386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www.njzq.com.cn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（84）国信证券股份有限公司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深圳市罗湖区红岭中路1012号国信证券大厦十六层至二十六层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张纳沙</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95536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www.guosen.com.cn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（85）中信建投证券股份有限公司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北京市朝阳区安立路66号4号楼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刘成</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95587、400-888-8108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http://www.csc108.com/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（86）东方财富证券股份有限公司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西藏自治区拉萨市柳梧新区国际总部城10栋楼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曾鑫杰</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95357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www.18.cn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（87）中泰证券股份有限公司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济南市高新区经十路7000号汉峪金融商务中心五区3号楼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王洪</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95538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http://www.zts.com.cn/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（88）长城证券股份有限公司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深圳市福田区福田街道金田路2026号能源大厦南塔楼10-19层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95514</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http://www.cgws.com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（89）华西证券股份有限公司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中国(四川)自由贸易试验区成都市高新区天府二街198号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杨炯洋</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95584</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http://www.hx168.com.cn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（90）华创证券有限责任公司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贵州省贵阳市云岩区中华北路216号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陶永泽</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0851-86820115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http://www.hczq.com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（91）方正证券股份有限公司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长沙市天心区湘江中路二段36号华远华中信4、5号楼3701-3717</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施华</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http://www.foundersc.com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（92）国盛证券股份有限公司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江西省南昌市西湖区云锦路1888号华侨城五期云域9栋1楼108室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刘朝东</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956080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http://www.gszq.com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（93）东兴证券股份有限公司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北京市西城区金融大街5号(新盛大厦)12、15层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李娟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010-66555835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http://www.dxzq.net</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（94）中航证券有限公司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江西省南昌市红谷滩新区红谷中大道1619号南昌国际金融大厦A栋41层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戚侠</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400-889-5335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http://www.avicsec.com/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（95）民生证券股份有限公司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中国（上海）自由贸易试验区浦明路8号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顾伟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400-619-8888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http://www.mszq.com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（96）中银国际证券股份有限公司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上海市浦东新区银城中路200号中银大厦39层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周权</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400-620-8888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www.bocichina.com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（97）华源证券股份有限公司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青海省西宁市南川工业园区创业路108号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邓晖</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95305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www.huayuanstock.com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（98）北京创金启富基金销售有限公司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北京市西城区民丰胡同31号5号楼215A</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杨文龙</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010-88067525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www.5irich.com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（99）中国人寿保险股份有限公司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中国北京市西城区金融大街16号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王滨</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95519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www.e-chinalife.com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（100）中国国际金融股份有限公司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北京市建国门外大街1号国贸大厦2座27层及28层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陈亮</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010-65051166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http://www.cicc.com.cn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（101）天相投资顾问有限公司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北京市西城区金融街19号富凯大厦B座701</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林义相</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010-66045678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www.txsec.com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（102）深圳众禄基金销售股份有限公司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深圳市罗湖区笋岗街道笋西社区梨园路8号HALO广场一期四层12-13室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龚江江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4006-788-887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www.zlfund.cn及www.jjmmw.com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（103）上海陆金所基金销售有限公司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上海市浦东新区陆家嘴1333号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宁博宇</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400-821-9031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www.lufunds.com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（104）上海联泰基金销售有限公司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上海市长宁区金钟路658弄2号楼B座6楼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兰敏</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4000-466-788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www.66liantai.com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（105）上海利得基金销售有限公司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上海市虹口区东大名路1098号浦江国际金融广场53层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张佳慧</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400-032-5885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www.leadfund.com.cn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（106）上海长量基金销售有限公司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上海市浦东新区东方路1267号陆家嘴金融服务广场二期11层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陆倩</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400-820-2899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www.erichfund.com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（107）诺亚正行基金销售有限公司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上海市杨浦区长阳路1687号2号楼2楼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李娟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400-821-5399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www.noah-fund.com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（108）嘉实财富管理有限公司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北京市朝阳区建国门外大街21号北京国际俱乐部C座写字楼11层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郭希璆</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400-021-8850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www.harvestwm.cn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（109）北京钱景基金销售有限公司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北京市丰台区丽泽路24号院1号楼-5至32层101内26层2602-2A</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白皓</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010-56533301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www.niuji.net</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（110）北京汇成基金销售有限公司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北京市西城区西直门外大街1号院2号楼19层19C13</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宋子琪</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400-619-9059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www.hcjijin.com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（111）玄元保险代理有限公司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中国（上海）自由贸易试验区张杨路707号1105室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姜帅伯</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4000808208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www.licaimofang.com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（112）浙江同花顺基金销售有限公司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杭州市余杭区五常街道同顺街18号 同花顺大楼4层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董一锋</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952555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www.5ifund.com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（113）腾安基金销售(深圳)有限公司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深圳市南山区海天二路33号腾讯滨海大厦15层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胡世铭</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95017（转1转8）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www.tenganxinxi.com或www.txfund.com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（114）上海万得基金销售有限公司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上海自由贸易试验区福山路33号11楼B座</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马烨莹</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400-821-0203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www.520fund.com.cn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（115）上海通华财富资产管理有限公司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上海市浦东新区陆家嘴世纪金融广场杨高南路799号3号楼9楼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云澎</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95156转6或 400-66-95156转6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www.tonghuafund.com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（116）上海华夏财富投资管理有限公司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北京市西城区金融大街33号通泰大厦B座8层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张静怡</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400-817-5666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www.amcfortune.com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（117）北京雪球基金销售有限公司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北京市朝阳区创远路34号院6号楼15层1501室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丁晗</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400-061-8518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www.danjuanapp.com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（118）深圳市新兰德证券投资咨询有限公司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北京市西城区金融大街35号国际企业大厦C座9层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张燕</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4008507771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t.jrj.com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（119）上海中欧财富基金销售有限公司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中国（上海）自由贸易试验区陆家嘴环路333号502室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刘弘义</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400-100-2666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https://www.zocaifu.com/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（120）上海天天基金销售有限公司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上海市徐汇区宛平南路88号金座东方财富大厦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马茜玲</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400-1818-188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www.1234567.com.cn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（121）上海好买基金销售有限公司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上海市浦东新区浦东南路1118号鄂尔多斯国际大厦9楼（200120）</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罗梦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400-700-9665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www.ehowbuy.com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（122）南京苏宁基金销售有限公司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南京市玄武区苏宁大道1-5号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王旋</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95177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www.suning.com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（123）蚂蚁(杭州)基金销售有限公司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浙江省杭州市西湖区西溪路556号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韩爱彬</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95188-8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www.fund123.cn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（124）京东肯特瑞基金销售有限公司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北京市通州区亦庄经济开发区科创十一街18号院京东集团总部A座15层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李丹</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95118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fund.jd.com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（125）北京度小满基金销售有限公司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北京市海淀区西北旺东路10号院西区4号楼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林天赐</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95055-4</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www.baiyingfund.com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（126）珠海盈米基金销售有限公司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广州市海珠区琶洲大道东1号保利国际广场南塔12楼B1201-1203</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邱湘湘</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020-89629066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www.yingmi.cn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（127）宜信普泽(北京)基金销售有限公司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北京市朝阳区光华路7号楼20层20A1、20A2单元</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魏晨</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400-6099-200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www.yixinfund.com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（128）上海基煜基金销售有限公司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上海市浦东新区银城中路488号太平金融大厦1503室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王步提</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400-820-5369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https://www.jiyufund.com.cn/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（129）泛华普益基金销售有限公司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成都市金牛区花照壁西顺街339号1栋1单元龙湖西宸天街B座1201号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史若芬</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400-080-3388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www.pywm.com.cn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（130）深圳市前海排排网基金销售有限责任公司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深圳市福田区福强路4001 号深圳市世纪工艺品文化市场313 栋E-403</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华荣杰</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400-680-3928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www.simuwang.com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（131）北京新浪仓石基金销售有限公司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北京市海淀区西北旺东路10号院西区8号楼新浪总部大厦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010-62675369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www.xincai.com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（132）泰信财富基金销售有限公司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北京市朝阳区建国路甲92号-4至24层内10层1012</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张虎</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400-004-8821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www.taixincf.com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（133）上海挖财基金销售有限公司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中国(上海)自由贸易试验区杨高南路759号18层03单元</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毛善波</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400-711-8718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www.wacaijijin.com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（134）深圳新华信通基金销售有限公司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深圳市福田区深南大道2003号华嵘大厦710、711室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戴媛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400-000-5767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www.xintongfund.com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（135）上海大智慧基金销售有限公司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上海自由贸易试验区杨高南路428号1号楼1102单元</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施燕华</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021-20292031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www.gw.com.cn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（136）上海中正达广基金销售有限公司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上海市徐汇区龙兰路277号1号楼1203、1204室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黄欣</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400-6767-523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https://zzwealth.cn/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（137）博时财富基金销售有限公司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深圳市福田区莲花街道福新社区益田路5999号基金大厦19层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杜松岭</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400-610-5568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www.boserawealth.com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（138）大连网金基金销售有限公司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辽宁省大连市沙河口区体坛路22号诺德大厦2层202室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樊怀东</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4000-899-100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www.yibaijin.com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（139）深圳前海微众银行股份有限公司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深圳市南山区沙河西路1819号深圳湾科技生态园7栋A座</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鲁文迪</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95384</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https://www.webank.com/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（140）上海陆享基金销售有限公司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上海市浦东新区南汇新城镇环湖西二路888号1幢1区14032室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陈志英</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021-53398816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www.luxxfund.com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（141）阳光人寿保险股份有限公司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海南省三亚市迎宾路360-1号三亚阳光金融广场16层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李科</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95510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http://www.sinosig.com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C类份额其他销售机构: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（1）兴业银行股份有限公司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福州市湖东路154号中山大厦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吕家进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95561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www.cib.com.cn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（2）招商银行股份有限公司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深圳市福田区深南大道7088号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缪建民</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95555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www.cmbchina.com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（3）东莞银行股份有限公司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东莞市莞城区体育路21号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卢国锋</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956033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www.dongguanbank.cn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（4）杭州银行股份有限公司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杭州市庆春路46号杭州银行大厦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吴太普</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0571-96523；400-888-8508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www.hzbank.com.cn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（5）华夏银行股份有限公司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北京市东城区建国门内大街22号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杨书剑</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www.hxb.com.cn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（6）江苏银行股份有限公司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南京市中华路26号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夏平</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95319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www.jsbchina.cn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（7）交通银行股份有限公司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中国（上海）自由贸易试验区银城中路188号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任德奇</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95559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www.bankcomm.com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（8）宁波银行股份有限公司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宁波市鄞州区宁南南路700号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陆华裕</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95574</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www.nbcb.com.cn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（9）平安银行股份有限公司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中国深圳市深南东路5047号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谢永林</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95511-3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bank.pingan.com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（10）青岛银行股份有限公司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青岛市市南区香港中路68号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郭少泉</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96588（青岛）；400-669-6588（全国）</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www.qdccb.com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（11）上海银行股份有限公司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上海市黄浦区中山南路688号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顾建忠</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95594</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www.bosc.cn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（12）中国工商银行股份有限公司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北京市西城区复兴门内大街55号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廖林</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www.icbc.com.cn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（13）中国民生银行股份有限公司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北京市西城区复兴门内大街2号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高迎欣</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95568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www.cmbc.com.cn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（14）中信银行股份有限公司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北京市朝阳区光华路10号院1号楼6-30层、32-42层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方合英</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95558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www.citicbank.com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（15）中国邮政储蓄银行股份有限公司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北京市西城区金融大街3号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郑国雨</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95580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www.psbc.com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（16）华西证券股份有限公司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中国(四川)自由贸易试验区成都市高新区天府二街198号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杨炯洋</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95584</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http://www.hx168.com.cn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（17）东方财富证券股份有限公司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西藏自治区拉萨市柳梧新区国际总部城10栋楼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曾鑫杰</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95357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www.18.cn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（18）中信建投证券股份有限公司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北京市朝阳区安立路66号4号楼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刘成</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95587、400-888-8108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http://www.csc108.com/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（19）国信证券股份有限公司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深圳市罗湖区红岭中路1012号国信证券大厦十六层至二十六层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张纳沙</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95536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www.guosen.com.cn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（20）财通证券股份有限公司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浙江省杭州市西湖区天目山路198号财通双冠大厦西楼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章启诚</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95336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http://www.ctsec.com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（21）中信证券(山东)有限责任公司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山东省青岛市崂山区深圳路222号1号楼2001</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肖海峰</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95548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http://sd.citics.com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（22）长城证券股份有限公司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深圳市福田区福田街道金田路2026号能源大厦南塔楼10-19层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95514</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http://www.cgws.com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（23）第一创业证券股份有限公司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深圳市福田区福华一路115号投行大厦20楼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刘学民</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95358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www.firstcapital.com.cn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（24）东方证券股份有限公司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上海市黄浦区中山南路119号东方证券大厦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龚德雄</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95503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http://www.dfzq.com.cn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（25）国投证券股份有限公司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深圳市福田区福田街道福华一路119号安信金融大厦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王苏望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95517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www.sdicsc.com.cn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（26）华宝证券股份有限公司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中国（上海）自由贸易试验区浦电路370号2、3、4层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刘加海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400-820-9898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http://www.cnhbstock.com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（27）方正证券股份有限公司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长沙市天心区湘江中路二段36号华远华中信4、5号楼3701-3717</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施华</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http://www.foundersc.com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（28）国金证券股份有限公司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成都市青羊区东城根上街95号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冉云</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95310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http://www.gjzq.com.cn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（29）国盛证券股份有限公司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江西省南昌市西湖区云锦路1888号华侨城五期云域9栋1楼108室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刘朝东</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956080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http://www.gszq.com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（30）恒泰证券股份有限公司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内蒙古自治区呼和浩特市新城区海拉尔东街满世尚都办公商业综合楼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祝艳辉</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0471-4960762</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http://www.cnht.com.cn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（31）开源证券股份有限公司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西安市高新区锦业路1号都市之门B座5层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李刚</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400-860-8866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www.kysec.cn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（32）民生证券股份有限公司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中国（上海）自由贸易试验区浦明路8号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顾伟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400-619-8888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http://www.mszq.com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（33）平安证券股份有限公司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深圳市福田区福田街道益田路5023号平安金融中心B座第22-25层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何之江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95511-8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https://stock.pingan.com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（34）华创证券有限责任公司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贵州省贵阳市云岩区中华北路216号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陶永泽</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0851-86820115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http://www.hczq.com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（35）华福证券有限责任公司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福建省福州市鼓楼区鼓屏路27号1#楼3层、4层、5层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苏军良</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95547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http://www.hfzq.com.cn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（36）华泰证券股份有限公司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江苏省南京市建邺区江东中路228号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95597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www.htsc.com.cn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（37）天风证券股份有限公司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湖北省武汉市东湖新技术开发区关东园路2号高科大厦4楼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余磊</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95391；400-800-5000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www.tfzq.com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（38）山西证券股份有限公司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太原市府西街69号山西国际贸易中心东塔楼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王怡里</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http://www.i618.com.cn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（39）万联证券股份有限公司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广州市天河区珠江东路11号18、19楼全层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王达</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95322</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http://www.wlzq.com.cn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（40）五矿证券有限公司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深圳市福田区金田路4028号荣超经贸中心办公楼47层01单元</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赵立功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400-184-0028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www.wkzq.com.cn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（41）西南证券股份有限公司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重庆市江北区金沙门路32号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姜栋林</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95355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http://www.swsc.com.cn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（42）兴业证券股份有限公司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福州市湖东路268号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杨华辉</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95562</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http://www.xyzq.com.cn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（43）招商证券股份有限公司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深圳市福田区福田街道福华一路111号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霍达</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95565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http://www.cmschina.com/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（44）浙商证券股份有限公司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浙江省杭州市上城区五星路201号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钱文海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95345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https://www.stocke.com.cn/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（45）中信期货有限公司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深圳市福田区中心三路8号卓越时代广场（二期）北座13层1301-1305室、14层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张皓</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400-990-8826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www.citicsf.com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（46）中信证券股份有限公司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广东省深圳市福田区中心三路8号卓越时代广场（二期）北座</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张佑君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95548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http://www.citics.com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（47）中信证券华南股份有限公司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广州市天河区临江大道395号901室（部位：自编01号）1001室（部位：自编01号）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陈可可</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95548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http://www.gzs.com.cn/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（48）中银国际证券股份有限公司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上海市浦东新区银城中路200号中银大厦39层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周权</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400-620-8888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www.bocichina.com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（49）国泰海通证券股份有限公司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上海市浦东新区自由贸易试验区商城路618号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朱健</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95521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www.gtht.com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（50）中国中金财富证券有限公司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深圳市南山区粤海街道海珠社区科苑南路2666号中国华润大厦L4601-L4608</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王建力</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95532</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https://www.ciccwm.com/ciccwmweb/</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（51）中航证券有限公司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江西省南昌市红谷滩新区红谷中大道1619号南昌国际金融大厦A栋41层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戚侠</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400-889-5335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http://www.avicsec.com/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（52）广发证券股份有限公司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广东省广州市黄埔区中新广州知识城腾飞一街2号618室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林传辉</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95575或致电各地营业网点</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http://www.gf.com.cn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（53）国元证券股份有限公司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安徽省合肥市梅山路18号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沈和付</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95578/400-888-8777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www.gyzq.com.cn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（54）和耕传承基金销售有限公司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郑州市郑东新区东风东路东,康宁街北6号楼6楼602,603房间</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董亚芳</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400-0555-671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www.hgccpb.com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（55）上海陆享基金销售有限公司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上海市浦东新区南汇新城镇环湖西二路888号1幢1区14032室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陈志英</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021-53398816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www.luxxfund.com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（56）上海中正达广基金销售有限公司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上海市徐汇区龙兰路277号1号楼1203、1204室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黄欣</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400-6767-523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https://zzwealth.cn/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（57）北京创金启富基金销售有限公司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北京市西城区民丰胡同31号5号楼215A</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杨文龙</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010-88067525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www.5irich.com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（58）泛华普益基金销售有限公司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成都市金牛区花照壁西顺街339号1栋1单元龙湖西宸天街B座1201号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史若芬</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400-080-3388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www.pywm.com.cn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（59）上海基煜基金销售有限公司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上海市浦东新区银城中路488号太平金融大厦1503室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王步提</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400-820-5369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https://www.jiyufund.com.cn/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（60）宜信普泽(北京)基金销售有限公司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北京市朝阳区光华路7号楼20层20A1、20A2单元</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魏晨</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400-6099-200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www.yixinfund.com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（61）珠海盈米基金销售有限公司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广州市海珠区琶洲大道东1号保利国际广场南塔12楼B1201-1203</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邱湘湘</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020-89629066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www.yingmi.cn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（62）北京度小满基金销售有限公司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北京市海淀区西北旺东路10号院西区4号楼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林天赐</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95055-4</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www.baiyingfund.com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（63）北京新浪仓石基金销售有限公司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北京市海淀区西北旺东路10号院西区8号楼新浪总部大厦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010-62675369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www.xincai.com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（64）泰信财富基金销售有限公司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北京市朝阳区建国路甲92号-4至24层内10层1012</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张虎</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400-004-8821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www.taixincf.com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（65）京东肯特瑞基金销售有限公司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北京市通州区亦庄经济开发区科创十一街18号院京东集团总部A座15层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李丹</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95118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fund.jd.com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（66）蚂蚁(杭州)基金销售有限公司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浙江省杭州市西湖区西溪路556号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韩爱彬</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95188-8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www.fund123.cn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（67）南京苏宁基金销售有限公司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南京市玄武区苏宁大道1-5号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王旋</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95177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www.suning.com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（68）上海好买基金销售有限公司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上海市浦东新区浦东南路1118号鄂尔多斯国际大厦9楼（200120）</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罗梦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400-700-9665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www.ehowbuy.com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（69）上海天天基金销售有限公司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上海市徐汇区宛平南路88号金座东方财富大厦</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马茜玲</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400-1818-188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www.1234567.com.cn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（70）上海中欧财富基金销售有限公司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中国（上海）自由贸易试验区陆家嘴环路333号502室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刘弘义</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400-100-2666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https://www.zocaifu.com/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（71）北京雪球基金销售有限公司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北京市朝阳区创远路34号院6号楼15层1501室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丁晗</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400-061-8518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www.danjuanapp.com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（72）上海大智慧基金销售有限公司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上海自由贸易试验区杨高南路428号1号楼1102单元</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施燕华</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021-20292031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www.gw.com.cn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（73）上海华夏财富投资管理有限公司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北京市西城区金融大街33号通泰大厦B座8层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张静怡</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400-817-5666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www.amcfortune.com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（74）上海通华财富资产管理有限公司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上海市浦东新区陆家嘴世纪金融广场杨高南路799号3号楼9楼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云澎</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95156转6或 400-66-95156转6</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www.tonghuafund.com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（75）上海挖财基金销售有限公司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中国(上海)自由贸易试验区杨高南路759号18层03单元</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毛善波</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400-711-8718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www.wacaijijin.com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（76）上海万得基金销售有限公司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上海自由贸易试验区福山路33号11楼B座</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马烨莹</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400-821-0203</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www.520fund.com.cn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（77）深圳市前海排排网基金销售有限责任公司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深圳市福田区福强路4001 号深圳市世纪工艺品文化市场313 栋E-403</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华荣杰</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400-680-3928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www.simuwang.com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（78）腾安基金销售(深圳)有限公司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深圳市南山区海天二路33号腾讯滨海大厦15层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胡世铭</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95017（转1转8）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www.tenganxinxi.com或www.txfund.com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（79）浙江同花顺基金销售有限公司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杭州市余杭区五常街道同顺街18号 同花顺大楼4层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董一锋</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952555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www.5ifund.com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（80）玄元保险代理有限公司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中国（上海）自由贸易试验区张杨路707号1105室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姜帅伯</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4000808208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www.licaimofang.com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（81）北京汇成基金销售有限公司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北京市西城区西直门外大街1号院2号楼19层19C13</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宋子琪</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400-619-9059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www.hcjijin.com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（82）嘉实财富管理有限公司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北京市朝阳区建国门外大街21号北京国际俱乐部C座写字楼11层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郭希璆</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400-021-8850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www.harvestwm.cn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（83）诺亚正行基金销售有限公司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上海市杨浦区长阳路1687号2号楼2楼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李娟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400-821-5399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www.noah-fund.com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（84）上海长量基金销售有限公司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上海市浦东新区东方路1267号陆家嘴金融服务广场二期11层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陆倩</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400-820-2899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www.erichfund.com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（85）上海利得基金销售有限公司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上海市虹口区东大名路1098号浦江国际金融广场53层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张佳慧</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400-032-5885</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www.leadfund.com.cn</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（86）上海联泰基金销售有限公司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上海市长宁区金钟路658弄2号楼B座6楼</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兰敏</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4000-466-788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www.66liantai.com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（87）上海陆金所基金销售有限公司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上海市浦东新区陆家嘴1333号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宁博宇</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400-821-9031</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www.lufunds.com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（88）深圳众禄基金销售股份有限公司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深圳市罗湖区笋岗街道笋西社区梨园路8号HALO广场一期四层12-13室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龚江江</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4006-788-887</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www.zlfund.cn及www.jjmmw.com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（89）阳光人寿保险股份有限公司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海南省三亚市迎宾路360-1号三亚阳光金融广场16层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李科</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95510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http://www.sinosig.com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（90）博时财富基金销售有限公司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深圳市福田区莲花街道福新社区益田路5999号基金大厦19层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杜松岭</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400-610-5568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www.boserawealth.com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（91）深圳前海微众银行股份有限公司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深圳市南山区沙河西路1819号深圳湾科技生态园7栋A座</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鲁文迪</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95384</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https://www.webank.com/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（92）中国人寿保险股份有限公司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中国北京市西城区金融大街16号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王滨</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95519</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www.e-chinalife.com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（93）大连网金基金销售有限公司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辽宁省大连市沙河口区体坛路22号诺德大厦2层202室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樊怀东</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4000-899-100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www.yibaijin.com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（94）贵州省贵文文化基金销售有限公司</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注册地址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贵州省贵阳市南明区龙洞堡电子商务港太升国际A栋2单元5层17号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陈成</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客服电话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0851-85407888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网址</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www.gwcaifu.com</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（以上排名不分先后）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3）本基金A类基金份额的场内销售机构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场内认购将通过上海证券交易所内具有基金销售业务资格并经上海证券交易所和中国证券登记结算有限责任公司认可的会员单位进行（具体名单可在上海证券交易所网站查询）。本基金认购期结束前获得基金销售业务资格的会员单位也可代理场内基金份额的发售。尚未取得相应业务资格，但属于上海证券交易所会员的其他机构，可在本基金上市后，代理投资人通过上海证券交易所交易系统参与本基金A类基金份额的上市交易。</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基金管理人可根据《基金法》、《运作办法》、《销售办法》和基金合同等的规定，选择其他符合要求的机构销售本基金，并在基金管理人网站公示。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（二）注册登记机构</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名称</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中国证券登记结算有限责任公司</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住所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北京市西城区太平桥大街17号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北京市西城区太平桥大街17号</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法定代表人</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于文强</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赵亦清</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010-50938782</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传真</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010-50938991</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名称</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上海源泰律师事务所</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住所及办公地址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上海市浦东南路256号华夏银行大厦14层</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负责人</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廖海</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刘佳</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021-51150298</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传真</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021-51150398</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经办律师</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刘佳、姜亚萍</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tbl>
      <w:tblPr>
        <w:tblW w:w="5000" w:type="pct"/>
        <w:tblLayout w:type="fixed"/>
        <w:tblCellMar>
          <w:left w:w="0" w:type="dxa"/>
          <w:right w:w="0" w:type="dxa"/>
        </w:tblCellMar>
        <w:tblLook w:val="0000" w:firstRow="0" w:lastRow="0" w:firstColumn="0" w:lastColumn="0" w:noHBand="0" w:noVBand="0"/>
      </w:tblPr>
      <w:tblGrid>
        <w:gridCol w:w="1725"/>
        <w:gridCol w:w="2157"/>
        <w:gridCol w:w="2157"/>
        <w:gridCol w:w="2631"/>
      </w:tblGrid>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名称</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安永华明会计师事务所(特殊普通合伙)</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住所及办公地址</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北京市东城区东长安街1号东方广场安永大楼17层01-12室</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执行事务合伙人</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毛鞍宁</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联系人</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蒋燕华</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电话</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010-58153000</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传真</w:t>
            </w:r>
          </w:p>
        </w:tc>
        <w:tc>
          <w:tcPr>
            <w:tcW w:w="5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010-85188298</w:t>
            </w:r>
          </w:p>
        </w:tc>
      </w:tr>
      <w:tr w:rsidR="00D12302">
        <w:trPr>
          <w:cantSplit/>
          <w:trHeight w:val="375"/>
        </w:trPr>
        <w:tc>
          <w:tcPr>
            <w:tcW w:w="4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经办注册会计师</w:t>
            </w:r>
          </w:p>
        </w:tc>
        <w:tc>
          <w:tcPr>
            <w:tcW w:w="161" w:type="dxa"/>
            <w:gridSpan w:val="3"/>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蒋燕华、朱燕</w:t>
            </w:r>
          </w:p>
        </w:tc>
      </w:tr>
    </w:tbl>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9" w:name="_Toc218779107"/>
      <w:r>
        <w:rPr>
          <w:rFonts w:ascii="宋体" w:hAnsi="宋体"/>
          <w:sz w:val="30"/>
        </w:rPr>
        <w:t>六、基金的募集</w:t>
      </w:r>
      <w:bookmarkEnd w:id="9"/>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（一）基金募集的依据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由基金管理人依照《基金法》、《运作办法》、《销售办法》、《信息披露办法》、基金合同及其他有关规定，经中国证监会2016年6月28日证监许可【2016】1442号准予募集注册。本基金已于2016年10月10日结束募集，募集期净认购金额及利息结转的基金份额共计份1,105,706,716.68份，有效认购户数为9,735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（二）基金类别</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混合型证券投资基金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（三）基金的运作方式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契约型，本基金在基金合同生效后二年内（含第二年）不开放申购、赎回业务，但可上市交易。基金合同生效后第二个年度对日起，本基金按照基金合同约定自动转型为上市开放式基金（LOF），并更名为银华鑫盛灵活配置混合型证券投资基金（LOF），接受场内、场外申购与赎回等业务，并继续上市交易。</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其中，年度对日指某一日期在后续年度中的对应日期；如该对应日期为非工作日或该日历年度中不存在对应日期的，则顺延至下一工作日。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（四）基金存续期限</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不定期</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（五）基金份额类别</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基金份额分为不同的类别，包括A类基金份额和C类基金份额。在投资人申购基金份额时收取申购费用而不是从本类别基金资产中计提销售服务费的，称为A类基金份额；在投资人申购基金份额时不收取申购费用，而是从本类别基金资产中计提销售服务费的，称为C类基金份额。本基金A类基金份额可通过场内或场外两种方式办理申购与赎回，C类基金份额仅可通过场外方式办理申购与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本基金A类、C类基金份额分别设置代码。由于基金费用的不同，本基金A类基金份额和C类基金份额将分别计算和公告基金份额净值。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关基金份额类别的具体设置、费率水平等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调低销售服务费率、变更收费方式、停止现有基金份额类别的销售等，基金管理人需在调整实施前及时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投资人在申购基金份额时可自行选择基金份额类别。</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10" w:name="_Toc218779108"/>
      <w:r>
        <w:rPr>
          <w:rFonts w:ascii="宋体" w:hAnsi="宋体"/>
          <w:sz w:val="30"/>
        </w:rPr>
        <w:t>七、基金合同的生效</w:t>
      </w:r>
      <w:bookmarkEnd w:id="10"/>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基金合同生效日为2016年10月14日，《基金合同》生效后，连续20个工作日出现基金份额持有人数量不满200人或者基金资产净值低于5000万元情形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法律法规或中国证监会另有规定时，从其规定。</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11" w:name="_Toc218779109"/>
      <w:r>
        <w:rPr>
          <w:rFonts w:ascii="宋体" w:hAnsi="宋体"/>
          <w:sz w:val="30"/>
        </w:rPr>
        <w:t>八、基金份额的上市交易</w:t>
      </w:r>
      <w:bookmarkEnd w:id="11"/>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基金合同生效后，在本基金符合法律法规和上海证券交易所规定的上市条件的情况下，基金份额向上海证券交易所申请上市交易。</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基金基金合同生效后第二个年度对日起，本基金按照基金合同约定自动转型为上市开放式基金（LOF），并更名为银华鑫盛灵活配置混合型证券投资基金（LOF），自动转型后本基金的A类基金份额可继续在上海证券交易所上市交易。本基金在转型前后可根据情况暂停上市交易，恢复时间以本基金管理人公告为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本基金A类基金份额可上市交易，如无特别说明，本节约定仅适用于基金A类基金份额。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（一）基金份额的上市</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1、上市交易的地点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上海证券交易所。</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基金份额上市后，登记在中国证券登记结算有限责任公司上海分公司证券登记系统中的基金份额可直接在上海证券交易所上市交易；登记在中国证券登记结算有限责任公司登记结算系统中的场外基金份额通过办理跨系统转托管业务将基金份额转至证券登记系统后，方可上市交易。</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2、上市交易的时间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于2016年11月7日发布《银华鑫盛定增灵活配置混合型证券投资基金上市交易公告书》，本基金于2016年11月10日在上海证券交易所上市交易。本基金的场内简称为“银华鑫盛”，本基金的扩位证券简称为“银华鑫盛LOF”。</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3、上市交易公告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本基金管理人于2016年11月7日发布《银华鑫盛定增灵活配置混合型证券投资基金上市交易公告书》。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（二）上市交易的规则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本基金基金份额在上海证券交易所的上市交易需遵循《上海证券交易所证券投资基金上市规则》、《上海证券交易所交易规则》等有关规定。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（三）上市交易的费用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基金份额上市交易的费用按照上海证券交易所有关规定办理。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（四）上市交易的停复牌和终止上市</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上市基金份额的停复牌和终止上市按照《基金法》相关规定和上海证券交易所的相关规定执行。具体情况见基金管理人届时相关公告。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（五）其他事项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相关法律法规、中国证监会及上海证券交易所对基金上市交易的规则等相关规定内容进行调整的，本基金基金合同相应内容予以修改，并可以在本基金更新的招募说明书中列示，且此项修改无须召开基金份额持有人大会审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若上海证券交易所、中国证券登记结算有限责任公司允许本基金C类基金份额上市交易或增加了基金上市交易的新功能，基金管理人可以在履行适当的程序后增加相应功能。</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12" w:name="_Toc218779110"/>
      <w:r>
        <w:rPr>
          <w:rFonts w:ascii="宋体" w:hAnsi="宋体"/>
          <w:sz w:val="30"/>
        </w:rPr>
        <w:t>九、基金份额的申购与赎回</w:t>
      </w:r>
      <w:bookmarkEnd w:id="12"/>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投资者可以通过上市交易、场外申购赎回、场内申购赎回三种方式，实现基金份额的日常交易。C类基金份额不上市交易，也不开设场内申购、赎回的方式，投资者只能通过场外方式申购与赎回C类基金份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基金合同生效后二年内（含第二年）不开放申购、赎回业务，但可上市交易。基金合同生效后第二个年度对日起，本基金按照基金合同约定自动转型为上市开放式基金（LOF），并更名为银华鑫盛灵活配置混合型证券投资基金（LOF），接受场内、场外申购与赎回等业务，并继续上市交易。</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其中，年度对日指某一日期在后续年度中的对应日期；如该对应日期为非工作日或该日历年度中不存在对应日期的，则顺延至下一工作日。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本基金按照基金合同约定自动转型为上市开放式基金（LOF）后，投资人可进行基金份额的申购和赎回，投资人的申购和赎回遵循以下规则：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（一）申购和赎回的场所</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本基金A类基金份额可通过场内或场外两种方式办理申购与赎回，C类基金份额仅可通过场外方式办理申购与赎回。基金管理人可以根据情况开通本基金C类基金份额通过场内方式办理申购赎回，并予以公告。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申购与赎回将通过销售机构进行。投资人办理场内申购与赎回业务的场所为具有基金销售业务资格，并经上海证券交易所和中国证券登记结算有限责任公司认可的，可通过上海证券交易所交易系统办理本基金销售业务的上海证券交易所会员单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投资人办理场外申购与赎回业务的场所包括基金管理人和基金管理人委托的场外代销机构。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需使用中国证券登记结算有限责任公司开放式基金账户办理场外申购、赎回业务；投资人需使用上海证券账户办理场内申购、赎回业务，其中，上海证券账户是指投资人在中国证券登记结算有限责任公司上海分公司开立的上海证券交易所人民币普通股票账户或证券投资基金账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销售机构名单参见本招募说明书“五、相关服务机构”部分相关内容或其他相关公告。基金管理人可根据情况变更或增减基金销售机构，并在基金管理人网站公示。投资人应当在销售机构办理基金销售业务的营业场所或按销售机构提供的其他方式办理基金份额的申购与赎回。若基金管理人或其指定的其他销售机构开通电话、传真或网上等交易方式，投资人可通过上述方式进行申购与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（二）基金销售对象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符合法律法规规定的可投资于证券投资基金的个人投资者、机构投资者、合格境外投资者以及法律法规或中国证监会允许购买证券投资基金的其他投资人。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（三）申购和赎回的开放日及时间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开放日的具体业务办理时间为上海证券交易所、深圳证券交易所的正常交易日的交易时间，但基金管理人根据法律法规、中国证监会的要求或基金合同的规定公告暂停申购、赎回时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按照基金合同约定自动转型为上市开放式基金（LOF）后，若出现新的证券/期货交易市场、证券/期货交易所交易时间变更或其他特殊情况，基金管理人有权视情况对前述开放日及开放时间进行相应的调整，但应在实施日前依照《信息披露办法》的有关规定在规定媒介上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2.申购、赎回开始日及业务办理时间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基金按照基金合同约定自动转型为上市开放式基金（LOF）之日起不超过30天开始办理申购、赎回。本基金A类基金份额自2018年10月15日起开放申购与赎回业务。本基金C类基金份额自2021年11月26日起开放申购与赎回业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（四）申购与赎回的原则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1、“未知价”原则，即申购、赎回价格以受理申请当日收市后计算的各类基金份额净值为基准进行计算；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3、当日的申购与赎回申请可以在基金管理人规定的时间以内撤销，在当日业务办理时间结束后不得撤销；</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4、基金份额持有人场外赎回基金份额时，基金管理人遵循“先进先出”原则，即按照投资人持有份额登记日期的先后次序进行顺序赎回；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人通过上海证券交易所交易系统办理基金份额的场内申购、赎回业务时，需遵守上海证券交易所和中国证券登记结算有限责任公司的相关业务规则。若相关法律法规、中国证监会、上海证券交易所或中国证券登记结算有限责任公司对场内申购、赎回业务规则有新的规定，按新规定执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基金管理人可在法律法规允许的情况下，对上述原则进行调整。基金管理人必须在新规则开始实施前依照《信息披露办法》的有关规定在规定媒介上公告。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（五）申购与赎回的程序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1、申购和赎回的申请方式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办理申购、赎回等业务时应提交的文件和办理手续、办理时间、处理规则等，在遵守基金合同和招募说明书规定的前提下，以各销售机构的具体规定为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2、申购和赎回的款项支付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投资人申购基金份额时，必须全额交付申购款项，投资人交付申购款项，申购成立；基金份额登记机构确认基金份额时，申购生效。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递交赎回申请，赎回成立；基金份额登记机构确认赎回时，赎回生效。投资人赎回申请生效后，基金管理人将通过登记机构及其相关基金销售机构在T＋7日(包括该日)内将赎回款项划往基金份额持有人银行账户，但中国证监会另有规定时除外。遇证券、期货交易所或交易市场数据传输延迟、通讯系统故障、银行数据交换系统故障或其它非基金管理人及基金托管人所能控制的因素影响业务处理流程时，赎回款项顺延至下一个工作日划出。在发生巨额赎回或基金合同载明的其他暂停赎回或延缓支付赎回款项的情形时，款项的支付办法参照基金合同有关条款处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3、申购和赎回申请的确认</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投资人已缴付的申购款项本金将退回投资人账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申请一定成功，而仅代表销售机构确实接收到申购、赎回申请，申购与赎回申请的确认以登记机构的确认结果为准。对于申请的确认情况，投资人应及时查询，并妥善行使合法权利。因投资人怠于履行该项查询等各项义务，致使其相关权益受损的，基金管理人、基金托管人、其他基金销售机构不承担由此造成的损失或不利后果。如因申请未得到登记机构的确认而造成的损失，由投资人自行承担。</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在法律法规允许的范围内，基金管理人可根据业务规则，对上述业务办理时间进行调整并将于开始实施前按照有关规定公告。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（六）申购金额和赎回份额的限制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在本基金其他销售机构的销售网点及网上直销交易系统进行场外申购时，每个基金账户首笔申购的最低金额为人民币1元，每笔追加申购的最低金额为人民币1元。直销中心办理业务时以其相关规则为准，基金管理人直销机构或各销售机构对最低申购限额及交易级差另有规定的，从其规定，但不得低于上述最低申购金额。投资人将当期分配的基金收益再投资时，不受最低申购金额的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通过具有基金销售业务资格且符合上海证券交易所有关风险控制要求的上海证券交易所会员单位场内申购基金，单笔申购最低金额为人民币1,000元，同时申购金额必须是整数金额。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持有人在销售机构办理场外赎回时，每笔赎回申请的最低份额为0.01份基金份额。基金份额持有人可将其全部或部分基金份额赎回，基金份额持有人办理某笔赎回业务时或办理某笔赎回业务后在场外销售机构（网点）单个交易账户保留的基金份额余额不足0.01份的，余额部分基金份额必须一同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基金份额持有人办理基金份额场内赎回时，每笔赎回申请的最低份额为1份基金份额，同时赎回份额必须是整数份额。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3、投资人将场外所申购的基金份额当期分配的基金收益转为基金份额时，不受最低申购金额的限制。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见基金管理人相关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5、本基金不对单个投资人累计持有的基金份额上限或累计持有的基金份额占基金份额总数的比例上限进行限制。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6、对于场内申购、赎回及持有场内基金份额的数量限制，上海证券交易所和中国证券登记结算有限责任公司的相关业务规则有规定的，从其最新规定办理。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7、基金管理人可以根据市场情况，在法律法规允许的情况下，调整上述规定申购金额和赎回份额的数量限制。基金管理人必须在调整实施前依照《信息披露办法》的有关规定在规定媒介上公告。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（七）申购和赎回的费用及其用途</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本基金按照基金合同约定自动转型为上市开放式基金（LOF）后场内和场外的A类基金份额申购费率相同。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本基金分为A类和C类两类基金份额，A类基金份额收取申购费、C类基金份额不收取申购费。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投资人申购本基金A类基金份额时所适用的申购费率按申购金额的大小分档，如下所示：</w:t>
      </w:r>
    </w:p>
    <w:tbl>
      <w:tblPr>
        <w:tblW w:w="5000" w:type="pct"/>
        <w:tblLayout w:type="fixed"/>
        <w:tblCellMar>
          <w:left w:w="0" w:type="dxa"/>
          <w:right w:w="0" w:type="dxa"/>
        </w:tblCellMar>
        <w:tblLook w:val="0000" w:firstRow="0" w:lastRow="0" w:firstColumn="0" w:lastColumn="0" w:noHBand="0" w:noVBand="0"/>
      </w:tblPr>
      <w:tblGrid>
        <w:gridCol w:w="1256"/>
        <w:gridCol w:w="2304"/>
        <w:gridCol w:w="5110"/>
      </w:tblGrid>
      <w:tr w:rsidR="00D12302">
        <w:trPr>
          <w:cantSplit/>
          <w:trHeight w:val="375"/>
        </w:trPr>
        <w:tc>
          <w:tcPr>
            <w:tcW w:w="2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A类基金份额申购费率</w:t>
            </w:r>
          </w:p>
        </w:tc>
        <w:tc>
          <w:tcPr>
            <w:tcW w:w="5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申购金额（M,含申购费）</w:t>
            </w:r>
          </w:p>
        </w:tc>
        <w:tc>
          <w:tcPr>
            <w:tcW w:w="12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申购费率</w:t>
            </w:r>
          </w:p>
        </w:tc>
      </w:tr>
      <w:tr w:rsidR="00D12302">
        <w:trPr>
          <w:cantSplit/>
          <w:trHeight w:val="375"/>
        </w:trPr>
        <w:tc>
          <w:tcPr>
            <w:tcW w:w="27" w:type="dxa"/>
            <w:vMerge/>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center"/>
              <w:rPr>
                <w:rFonts w:ascii="宋体" w:hAnsi="宋体"/>
                <w:color w:val="000000"/>
                <w:kern w:val="0"/>
                <w:sz w:val="25"/>
                <w:szCs w:val="24"/>
              </w:rPr>
            </w:pPr>
          </w:p>
        </w:tc>
        <w:tc>
          <w:tcPr>
            <w:tcW w:w="5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M&lt;100万元</w:t>
            </w:r>
          </w:p>
        </w:tc>
        <w:tc>
          <w:tcPr>
            <w:tcW w:w="12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1.50%</w:t>
            </w:r>
          </w:p>
        </w:tc>
      </w:tr>
      <w:tr w:rsidR="00D12302">
        <w:trPr>
          <w:cantSplit/>
          <w:trHeight w:val="375"/>
        </w:trPr>
        <w:tc>
          <w:tcPr>
            <w:tcW w:w="27" w:type="dxa"/>
            <w:vMerge/>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center"/>
              <w:rPr>
                <w:rFonts w:ascii="宋体" w:hAnsi="宋体"/>
                <w:color w:val="000000"/>
                <w:kern w:val="0"/>
                <w:sz w:val="25"/>
                <w:szCs w:val="24"/>
              </w:rPr>
            </w:pPr>
          </w:p>
        </w:tc>
        <w:tc>
          <w:tcPr>
            <w:tcW w:w="5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100万元≤M&lt;200万元</w:t>
            </w:r>
          </w:p>
        </w:tc>
        <w:tc>
          <w:tcPr>
            <w:tcW w:w="12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1.00%</w:t>
            </w:r>
          </w:p>
        </w:tc>
      </w:tr>
      <w:tr w:rsidR="00D12302">
        <w:trPr>
          <w:cantSplit/>
          <w:trHeight w:val="375"/>
        </w:trPr>
        <w:tc>
          <w:tcPr>
            <w:tcW w:w="27" w:type="dxa"/>
            <w:vMerge/>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center"/>
              <w:rPr>
                <w:rFonts w:ascii="宋体" w:hAnsi="宋体"/>
                <w:color w:val="000000"/>
                <w:kern w:val="0"/>
                <w:sz w:val="25"/>
                <w:szCs w:val="24"/>
              </w:rPr>
            </w:pPr>
          </w:p>
        </w:tc>
        <w:tc>
          <w:tcPr>
            <w:tcW w:w="5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200万元≤M&lt;500万元</w:t>
            </w:r>
          </w:p>
        </w:tc>
        <w:tc>
          <w:tcPr>
            <w:tcW w:w="12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0.60%</w:t>
            </w:r>
          </w:p>
        </w:tc>
      </w:tr>
      <w:tr w:rsidR="00D12302">
        <w:trPr>
          <w:cantSplit/>
          <w:trHeight w:val="375"/>
        </w:trPr>
        <w:tc>
          <w:tcPr>
            <w:tcW w:w="27" w:type="dxa"/>
            <w:vMerge/>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center"/>
              <w:rPr>
                <w:rFonts w:ascii="宋体" w:hAnsi="宋体"/>
                <w:color w:val="000000"/>
                <w:kern w:val="0"/>
                <w:sz w:val="25"/>
                <w:szCs w:val="24"/>
              </w:rPr>
            </w:pPr>
          </w:p>
        </w:tc>
        <w:tc>
          <w:tcPr>
            <w:tcW w:w="5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M≥500万元</w:t>
            </w:r>
          </w:p>
        </w:tc>
        <w:tc>
          <w:tcPr>
            <w:tcW w:w="12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按笔固定收取，1000元/笔</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申购费在投资人申购基金份额时收取。本基金A类基金份额的申购费用由申购本基金A类基金份额的投资人承担，主要用于本基金的市场推广、销售、登记等各项费用，不列入基金财产。投资人在一天之内如果有多笔申购，适用费率按单笔分别计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本基金的赎回费用由赎回本基金基金份额的基金份额持有人承担，在基金份额持有人赎回基金份额时收取。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（1）A类基金份额的赎回费率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持续持有本基金A类基金份额少于7天的投资者收取1.5%的赎回费并全额计入基金财产。对于持续持有本基金A类基金份额不少于7天的投资者收取的赎回费，将赎回费总额的25%计入基金财产，其余用于支付市场推广、注册登记费和其他必要的手续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本基金按照基金合同约定自动转型为上市开放式基金（LOF）后投资人赎回本基金A类基金份额时，本基金A类基金份额场外与场内赎回费率均不高于1.50%，随份额持有时间增加而递减。具体赎回费率如下：</w:t>
      </w:r>
    </w:p>
    <w:tbl>
      <w:tblPr>
        <w:tblW w:w="5000" w:type="pct"/>
        <w:tblLayout w:type="fixed"/>
        <w:tblCellMar>
          <w:left w:w="0" w:type="dxa"/>
          <w:right w:w="0" w:type="dxa"/>
        </w:tblCellMar>
        <w:tblLook w:val="0000" w:firstRow="0" w:lastRow="0" w:firstColumn="0" w:lastColumn="0" w:noHBand="0" w:noVBand="0"/>
      </w:tblPr>
      <w:tblGrid>
        <w:gridCol w:w="1495"/>
        <w:gridCol w:w="2221"/>
        <w:gridCol w:w="4954"/>
      </w:tblGrid>
      <w:tr w:rsidR="00D12302">
        <w:trPr>
          <w:cantSplit/>
          <w:trHeight w:val="375"/>
        </w:trPr>
        <w:tc>
          <w:tcPr>
            <w:tcW w:w="35"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A类基金份额赎回费率</w:t>
            </w:r>
          </w:p>
        </w:tc>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持有期限（Y）</w:t>
            </w:r>
          </w:p>
        </w:tc>
        <w:tc>
          <w:tcPr>
            <w:tcW w:w="11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赎回费率</w:t>
            </w:r>
          </w:p>
        </w:tc>
      </w:tr>
      <w:tr w:rsidR="00D12302">
        <w:trPr>
          <w:cantSplit/>
          <w:trHeight w:val="375"/>
        </w:trPr>
        <w:tc>
          <w:tcPr>
            <w:tcW w:w="35" w:type="dxa"/>
            <w:vMerge/>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center"/>
              <w:rPr>
                <w:rFonts w:ascii="宋体" w:hAnsi="宋体"/>
                <w:color w:val="000000"/>
                <w:kern w:val="0"/>
                <w:sz w:val="25"/>
                <w:szCs w:val="24"/>
              </w:rPr>
            </w:pPr>
          </w:p>
        </w:tc>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Y＜7天</w:t>
            </w:r>
          </w:p>
        </w:tc>
        <w:tc>
          <w:tcPr>
            <w:tcW w:w="11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1.50%</w:t>
            </w:r>
          </w:p>
        </w:tc>
      </w:tr>
      <w:tr w:rsidR="00D12302">
        <w:trPr>
          <w:cantSplit/>
          <w:trHeight w:val="375"/>
        </w:trPr>
        <w:tc>
          <w:tcPr>
            <w:tcW w:w="35" w:type="dxa"/>
            <w:vMerge/>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center"/>
              <w:rPr>
                <w:rFonts w:ascii="宋体" w:hAnsi="宋体"/>
                <w:color w:val="000000"/>
                <w:kern w:val="0"/>
                <w:sz w:val="25"/>
                <w:szCs w:val="24"/>
              </w:rPr>
            </w:pPr>
          </w:p>
        </w:tc>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7天≤Y﹤365天</w:t>
            </w:r>
          </w:p>
        </w:tc>
        <w:tc>
          <w:tcPr>
            <w:tcW w:w="11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0.50%</w:t>
            </w:r>
          </w:p>
        </w:tc>
      </w:tr>
      <w:tr w:rsidR="00D12302">
        <w:trPr>
          <w:cantSplit/>
          <w:trHeight w:val="375"/>
        </w:trPr>
        <w:tc>
          <w:tcPr>
            <w:tcW w:w="35" w:type="dxa"/>
            <w:vMerge/>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center"/>
              <w:rPr>
                <w:rFonts w:ascii="宋体" w:hAnsi="宋体"/>
                <w:color w:val="000000"/>
                <w:kern w:val="0"/>
                <w:sz w:val="25"/>
                <w:szCs w:val="24"/>
              </w:rPr>
            </w:pPr>
          </w:p>
        </w:tc>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365天≤Y﹤730天</w:t>
            </w:r>
          </w:p>
        </w:tc>
        <w:tc>
          <w:tcPr>
            <w:tcW w:w="11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0.25%</w:t>
            </w:r>
          </w:p>
        </w:tc>
      </w:tr>
      <w:tr w:rsidR="00D12302">
        <w:trPr>
          <w:cantSplit/>
          <w:trHeight w:val="375"/>
        </w:trPr>
        <w:tc>
          <w:tcPr>
            <w:tcW w:w="35" w:type="dxa"/>
            <w:vMerge/>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center"/>
              <w:rPr>
                <w:rFonts w:ascii="宋体" w:hAnsi="宋体"/>
                <w:color w:val="000000"/>
                <w:kern w:val="0"/>
                <w:sz w:val="25"/>
                <w:szCs w:val="24"/>
              </w:rPr>
            </w:pPr>
          </w:p>
        </w:tc>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730天≤Y</w:t>
            </w:r>
          </w:p>
        </w:tc>
        <w:tc>
          <w:tcPr>
            <w:tcW w:w="11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（2）C类基金份额赎回费率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对持续持有本基金C类基金份额少于30天的投资人收取的赎回费，将赎回费全额计入基金财产；对持续持有本基金C类基金份额大于等于30天的投资人不收取赎回费。</w:t>
      </w:r>
    </w:p>
    <w:tbl>
      <w:tblPr>
        <w:tblW w:w="5000" w:type="pct"/>
        <w:tblLayout w:type="fixed"/>
        <w:tblCellMar>
          <w:left w:w="0" w:type="dxa"/>
          <w:right w:w="0" w:type="dxa"/>
        </w:tblCellMar>
        <w:tblLook w:val="0000" w:firstRow="0" w:lastRow="0" w:firstColumn="0" w:lastColumn="0" w:noHBand="0" w:noVBand="0"/>
      </w:tblPr>
      <w:tblGrid>
        <w:gridCol w:w="1495"/>
        <w:gridCol w:w="2221"/>
        <w:gridCol w:w="4954"/>
      </w:tblGrid>
      <w:tr w:rsidR="00D12302">
        <w:trPr>
          <w:cantSplit/>
          <w:trHeight w:val="375"/>
        </w:trPr>
        <w:tc>
          <w:tcPr>
            <w:tcW w:w="35"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C类基金份额赎回费率</w:t>
            </w:r>
          </w:p>
        </w:tc>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持有期限（Y）</w:t>
            </w:r>
          </w:p>
        </w:tc>
        <w:tc>
          <w:tcPr>
            <w:tcW w:w="11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赎回费率</w:t>
            </w:r>
          </w:p>
        </w:tc>
      </w:tr>
      <w:tr w:rsidR="00D12302">
        <w:trPr>
          <w:cantSplit/>
          <w:trHeight w:val="375"/>
        </w:trPr>
        <w:tc>
          <w:tcPr>
            <w:tcW w:w="35" w:type="dxa"/>
            <w:vMerge/>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center"/>
              <w:rPr>
                <w:rFonts w:ascii="宋体" w:hAnsi="宋体"/>
                <w:color w:val="000000"/>
                <w:kern w:val="0"/>
                <w:sz w:val="25"/>
                <w:szCs w:val="24"/>
              </w:rPr>
            </w:pPr>
          </w:p>
        </w:tc>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Y＜7天</w:t>
            </w:r>
          </w:p>
        </w:tc>
        <w:tc>
          <w:tcPr>
            <w:tcW w:w="11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1.50%</w:t>
            </w:r>
          </w:p>
        </w:tc>
      </w:tr>
      <w:tr w:rsidR="00D12302">
        <w:trPr>
          <w:cantSplit/>
          <w:trHeight w:val="375"/>
        </w:trPr>
        <w:tc>
          <w:tcPr>
            <w:tcW w:w="35" w:type="dxa"/>
            <w:vMerge/>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center"/>
              <w:rPr>
                <w:rFonts w:ascii="宋体" w:hAnsi="宋体"/>
                <w:color w:val="000000"/>
                <w:kern w:val="0"/>
                <w:sz w:val="25"/>
                <w:szCs w:val="24"/>
              </w:rPr>
            </w:pPr>
          </w:p>
        </w:tc>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7天≤Y﹤30天</w:t>
            </w:r>
          </w:p>
        </w:tc>
        <w:tc>
          <w:tcPr>
            <w:tcW w:w="11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0.50%</w:t>
            </w:r>
          </w:p>
        </w:tc>
      </w:tr>
      <w:tr w:rsidR="00D12302">
        <w:trPr>
          <w:cantSplit/>
          <w:trHeight w:val="375"/>
        </w:trPr>
        <w:tc>
          <w:tcPr>
            <w:tcW w:w="35" w:type="dxa"/>
            <w:vMerge/>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center"/>
              <w:rPr>
                <w:rFonts w:ascii="宋体" w:hAnsi="宋体"/>
                <w:color w:val="000000"/>
                <w:kern w:val="0"/>
                <w:sz w:val="25"/>
                <w:szCs w:val="24"/>
              </w:rPr>
            </w:pPr>
          </w:p>
        </w:tc>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Y≥30天</w:t>
            </w:r>
          </w:p>
        </w:tc>
        <w:tc>
          <w:tcPr>
            <w:tcW w:w="11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3、基金管理人可以在基金合同约定的范围内调整费率或收费方式，并最迟应于新的费率或收费方式实施日前依照《信息披露办法》的有关规定在指定媒介上公告。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申购费率、赎回费率并另行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（八）申购份额与赎回金额的计算方式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场外申购时，申购的有效份额为按实际确认的申购金额在扣除相应的费用后，以当日该类基金份额净值为基准计算，申购份额计算结果保留到小数点后2位，小数点后两位以后的部分四舍五入，由此误差产生的收益或损失由基金财产承担。</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场内申购的有效份额为按实际确认的申购金额在扣除相应的费用后，以当日A类基金份额净值为基准计算，申购份额的计算先按四舍五入的原则保留到小数点后两位，再按截位法保留到整数位，小数部分对应的金额退还至投资人资金账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场内和场外赎回时，赎回金额为按实际确认的有效赎回份额乘以当日该类基金份额净值并扣除相应的费用后的余额，赎回金额计算结果以四舍五入的方式保留到小数点后两位，由此产生的收益或损失由基金财产承担。</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2、申购份额的计算：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（1）本基金A类基金份额的申购份额的计算方式如下：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A类基金份额以申购金额为基数采用比例费率计算申购费用。基金的申购金额包括申购费用和净申购金额，其中：</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净申购金额=申购金额/（1＋申购费率）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（注：对于适用固定金额申购费的申购，净申购金额=申购金额-固定申购费金额）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申购费用=申购金额-净申购金额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（注：对于适用固定金额申购费的申购，申购费用=固定申购费金额）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申购份额=净申购金额/T日A类基金份额净值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例一：某客户投资1,000,000.00元，通过场外申购本基金A类基金份额，其对应的申购费率为1.00%，假设申购当日本基金A类基金份额净值为1.060元，则其可得到的申购份额为：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净申购金额=1,000,000.00/（1＋1.00%）=990,099.01元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申购费用=1,000,000.00－990,099.01=9,900.99元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申购份额=990,099.01/1.060=934,055.66份</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即：某客户投资1,000,000.00元，通过场外申购本基金A类基金份额，假设申购当日本基金A类基金份额净值为1.060元，则可得到934,055.66份本基金A类基金份额。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例二：某客户投资1,000,000.00元，通过场内申购本基金A类基金份额，其对应的申购费率为1.00%，假设申购当日本基金A类基金份额净值为1.060元，则其可得到的申购份额为：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净申购金额=1,000,000.00/（1＋1.00%）=990,099.01元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申购费用=1,000,000.00－990,099.01=9,900.99元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申购份额=990,099.01/1.060=934,055份(截位保留至整数位)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即：某客户投资1,000,000.00元，通过场内申购本基金A类基金份额，假设申购当日本基金A类基金份额净值为1.060元，则其可得到934,055份本基金A类基金份额。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（2）本基金C类基金份额的申购份额的计算方式如下：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本基金C类基金份额在投资人申购时不收取申购费用。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C类申购份额=申购金额/T日C类基金份额净值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例三：某投资人投资100,000.00元，通过场外申购本基金C类基金份额，假设申购当日本基金C类基金份额净值为1.060元，则其可得到的申购份额为：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申购份额=100,000.00/1.060=94,339.62份</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即：投资人投资100,000.00元申购本基金C类基金份额，假设申购当日本基金C类基金份额净值为1.060元，则其可得到94,339.62份本基金C类基金份额。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场外赎回和场内赎回均采用份额赎回的方式，赎回金额以当日相应类别的基金份额净值为基准计算，计算结果以四舍五入的方式保留到小数点后2位，由此产生的收益或损失由基金财产承担。赎回金额的计算公式如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赎回总金额=赎回份额×T日相应类别的基金份额净值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赎回费用=赎回总金额×赎回费率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净赎回金额=赎回总金额-赎回费用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（1）本基金A类基金份额的赎回金额的计算方法如下：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例四：某投资人赎回持有的1,000,000份本基金A类基金份额，持有期限为360天，其对应的赎回费率为0.50%，假设赎回当日本基金A类基金份额净值为1.148元，则其可得到的净赎回金额为：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赎回总金额=1,000,000×1.148=1,148,000.00元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赎回费用=1,148,000.00×0.50%=5740.00元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净赎回金额=1,148,000.00-5740.00=1,142,260.00元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即：某投资人赎回其持有360天的1,000,000份本基金A类基金份额，假设赎回当日本基金A类基金份额净值为1.148元，则可得到的净赎回金额为为1,142,260.00元。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（2）本基金C类基金份额的赎回金额的计算方法如下：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例五：某投资人赎回持有的1,000,000份本基金C类基金份额，持有期限为20天，其对应的赎回费率为0.50%，假设赎回当日本基金C类基金份额净值为1.148元，则其可得到的净赎回金额为：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赎回总金额=1,000,000×1.148=1,148,000.00元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赎回费用=1,148,000.00×0.50%=5,740.00元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净赎回金额=1,148,000.00-5,740.00=1,142,260.00元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即：某投资人赎回其持有20天的1,000,000份本基金C类基金份额，假设赎回当日本基金C类基金份额净值为1.148元，则可得到的净赎回金额为为1,142,260.00元。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T日的本基金各类基金份额净值在当天收市后计算，并在T+1日内公告。遇特殊情况，经中国证监会同意，可以适当延迟计算或公告。本基金各类基金份额净值的计算，保留到小数点后3位，小数点后第4位四舍五入，由此产生的收益或损失由基金资产承担。</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(九)拒绝或暂停申购的情形及处理方式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本基金按照基金合同约定自动转型为上市开放式基金（LOF）以后，发生下列情况时，基金管理人可拒绝或暂停接受投资人的申购申请：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1、因不可抗力导致基金无法正常运作。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采取暂停接受基金申购申请的措施。</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3、因特殊原因（包括但不限于证券/期货交易场所依法决定临时停市或交易时间非正常停市），导致基金管理人无法计算当日基金资产净值。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4、基金管理人接受某笔或某些申购申请会损害现有基金份额持有人利益时。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5、基金管理人接受某笔或者某些申购申请有可能导致单一投资人持有基金份额的比例达到或者超过50%，或者变相规避50%集中度的情形时。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6、基金资产规模过大，使基金管理人无法找到合适的投资品种，或出现其他可能对基金业绩产生负面影响，或发生其他损害现有基金份额持有人利益的情形。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7、基金管理人、基金托管人、基金销售机构、登记结算系统或证券登记系统的技术故障或其他异常情况导致基金销售系统、基金登记系统或基金会计系统无法正常运行。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8、申请超过基金管理人设定的基金总规模、单日净申购比例上限、单一投资者单日或单笔申购金额上限的。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9、法律法规规定或中国证监会认定的其他情形。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第1、2、3、5、6、7、9项暂停申购情形之一且基金管理人决定暂停接受投资人的申购申请时，基金管理人应当根据有关规定在规定媒介上刊登暂停申购公告。如果投资人的申购申请被全部或部分拒绝的，被拒绝的申购款项本金将全额退还给投资人，基金管理人及基金托管人不承担该退回款项产生的利息等损失。在暂停申购的情况消除时，基金管理人应及时恢复申购业务的办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(十)暂停赎回或延缓支付赎回款项的情形及处理方式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本基金按照基金合同约定自动转型为上市开放式基金（LOF）以后，发生下列情形时，基金管理人可暂停接受投资人的赎回申请或延缓支付赎回款项：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1、因不可抗力导致基金管理人不能支付赎回款项。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采取延缓支付赎回款项或暂停接受基金赎回申请的措施。</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3、因特殊原因（包括但不限于证券/期货交易场所依法决定临时停市或交易时间非正常停市），导致基金管理人无法计算当日基金资产净值。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4、连续两个或两个以上开放日发生巨额赎回。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5、发生继续接受赎回申请将损害现有基金份额持有人利益的情形时，基金管理人可暂停接受投资人的赎回申请。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6、法律法规规定或中国证监会认定的其他情形。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情形之一且基金管理人决定暂停接受投资人的赎回申请或延缓支付赎回款项时，基金管理人应及时报中国证监会备案，已确认的赎回申请，基金管理人应足额支付；如暂时不能足额支付，对于场外赎回申请，应将可支付部分按单个账户申请量占申请总量的比例分配给赎回申请人，未支付部分可延期支付。若出现上述第4项所述情形，按基金合同的相关条款处理。基金份额持有人在申请场外赎回时可事先选择将当日可能未获受理部分予以撤销。如暂停本基金份额的赎回，基金管理人应及时在规定媒介上刊登暂停赎回公告。在暂停赎回的情况消除时，基金管理人应及时恢复赎回业务的办理并公告。当出现暂停赎回或延缓支付赎回款项时，场内赎回申请按照上海证券交易所及中国证券登记结算有限责任公司的有关业务规则办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(十一)巨额赎回的情形及处理方式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1、巨额赎回的认定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2、巨额赎回的场外处理方式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已被接受的赎回申请量占已被接受的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处理无优先权，并以下一开放日相应类别的基金份额净值为基础计算赎回金额，以此类推，直到全部赎回为止。如投资人在提交赎回申请时未作明确选择，投资人未能赎回部分作自动延期赎回处理。当出现巨额赎回时，基金转换中转出份额的申请的处理方式遵照相关的业务规则及相关业务公告。部分延期赎回不受单笔赎回最低份额的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按照基金合同约定自动转型为上市开放式基金（LOF）后，在本基金出现巨额赎回且单个基金份额持有人的赎回申请超过上一开放日基金总份额的20%时，基金管理人认为支付该基金份额持有人的全部赎回申请有困难或认为因支付该基金份额持有人的全部赎回申请而进行的财产变现可能会对基金资产净值造成较大波动时，对于该基金份额持有人当日提出的赎回申请中超过上一开放日基金总份额20%的部分（不含20%），基金管理人可以延期办理。对于未能赎回部分，单个基金份额持有人在提交赎回申请时可以选择延期赎回或取消赎回。选择延期赎回的，将自动转入下一个开放日继续赎回，延期的赎回申请与下一开放日赎回申请一并处理，无优先权并以下一开放日相应类别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该基金份额持有人当日提出的赎回申请中未超过上一开放日基金总份额20%的部分（含20%），基金管理人可以采取全额赎回或部分延期赎回的方式，与其他基金份额持有人的赎回申请一并办理，并且对于该基金份额持有人和其他基金份额持有人的赎回申请采取相同的处理方式。对于前述未能赎回部分，基金份额持有人在提交赎回申请时可以选择延期赎回或取消赎回。选择延期赎回的，将自动转入下一个开放日继续赎回，延期的赎回申请与下一开放日赎回申请一并处理，无优先权并以下一开放日相应类别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基金转换中转出份额的申请的处理方式遵照相关的业务规则及相关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3、巨额赎回的场内处理方式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巨额赎回业务的场内处理，按照上海证券交易所及中国证券登记结算有限责任公司的有关规定办理。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4、巨额赎回的公告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巨额赎回并延期办理时，基金管理人应当通过邮寄、传真或者招募说明书规定的其他方式在《信息披露办法》规定的时限要求内通知基金份额持有人，说明有关处理方法，并在2日内在规定媒介上刊登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（十二）暂停申购或赎回的公告和重新开放申购或赎回的公告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1、发生上述暂停申购或赎回情况的，基金管理人应在规定期限内在规定媒介上刊登暂停公告。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2、如发生暂停的时间为1日，基金管理人应于重新开放日，在规定媒介上刊登基金重新开放申购或赎回公告，并公布最近1个开放日各类基金份额的基金份额净值。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发生暂停的时间超过1日但少于两周，暂停结束，基金重新开放申购或赎回时，基金管理人应按照《信息披露办法》的有关规定在规定媒介上刊登基金重新开放申购或赎回的公告，并在重新开放申购或赎回日公告最近1个开放日各类基金份额的基金份额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如果发生暂停的时间超过两周，暂停期间，基金管理人应每两周至少重复刊登暂停公告一次；当连续暂停时间超过两个月时，基金管理人可以调整刊登公告的频率。暂停结束，基金重新开放申购或赎回时，基金管理人按照《信息披露办法》的有关规定在规定媒介上连续刊登基金重新开放申购或赎回的公告，并在重新开放申购或赎回日公告最近1个开放日各类基金份额的基金份额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（十三）基金转换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以根据相关法律法规的规定以及基金合同的约定开办本基金与基金管理人管理的且已开通基金转换业务的其他基金之间的转换业务，基金转换可以收取一定的转换费，相关规则由基金管理人届时根据相关法律法规的规定及基金合同的约定制定并公告，并提前告知基金托管人与相关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（十四）基金份额的转让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（十五）基金的非交易过户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或者是按照相关法律法规或国家有权机关要求的划转主体。</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或者以其他方式处分。办理非交易过户必须提供基金登记机构要求提供的相关资料，对于符合条件的非交易过户申请按基金登记机构的规定办理，并按基金登记机构规定的标准收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(十六)基金的转托管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1、基金份额的注册登记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份额采用分系统登记的原则。场外认购、申购或通过跨系统转托管从场内转入的基金份额登记在登记结算系统基金份额持有人开放式基金账户下，场内认购、申购、上市交易买入或通过跨系统转托管从场外转入的基金份额登记在证券登记系统基金份额持有人的上海证券账户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跨系统转托管仅适用于本基金A类基金份额。如日后C类基金份额开通跨系统转托管的，基金管理人将另行公告。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2、系统内转托管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（1）基金份额持有人可将其持有的基金份额在登记结算系统内不同销售机构（网点）之间进行系统内转托管或在证券登记系统内不同会员单位（交易单元）之间进行转指定。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（2）基金份额登记在登记结算系统的基金份额持有人在变更办理赎回业务的销售机构（网点）时，须办理已持有基金份额的系统内转托管。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（3）基金份额登记在证券登记系统的基金份额持有人在变更办理基金份额上市交易或场内赎回业务的会员单位时，须办理已持有基金份额转指定。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3、跨系统转托管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（1）跨系统转托管是指基金份额持有人将其持有的A类基金份额在登记结算系统和证券登记系统之间进行转托管的行为。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（2）本基金A类基金份额跨系统转托管的具体业务按照中国证券登记结算有限责任公司及上海证券交易所的相关规定办理。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（十七）定期定额投资计划</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本基金A类基金份额自2018年10月15日起开放定期定额投资业务。本基金C类基金份额自2021年11月26日起开放定期定额投资业务。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（十八）基金份额的冻结和解冻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登记机构只受理国家有权机关依法要求的基金份额的冻结与解冻，以及登记机构认可、符合法律法规的其他情况下的冻结与解冻。如无法律法规明确规定或国家有权机关的明确指示，被冻结的基金份额产生的权益一并冻结，被冻结基金份额仍然参与收益分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（十九）实施侧袋机制期间本基金的申购与赎回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本基金实施侧袋机制的，本基金的申购和赎回安排详见本招募说明书“侧袋机制”部分的规定或相关公告。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十）在不违反相关法律法规和基金合同约定且对基金份额持有人利益无实质不利影响的前提下，基金管理人可以与基金托管人协商一致并在履行相关程序后，根据具体情况对上述申购和赎回的安排进行补充和调整，或者办理基金份额质押等相关业务，届时无须召开基金份额持有人大会审议但须报中国证监会备案并提前公告。</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13" w:name="_Toc218779111"/>
      <w:r>
        <w:rPr>
          <w:rFonts w:ascii="宋体" w:hAnsi="宋体"/>
          <w:sz w:val="30"/>
        </w:rPr>
        <w:t>十、基金的投资</w:t>
      </w:r>
      <w:bookmarkEnd w:id="13"/>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(一)投资目标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于对宏观经济、资本市场的深入分析和理解，在基金合同生效后二年内(含第二年)，通过对定向增发项目的深入研究，利用定向增发项目的事件性特征与折价优势，优选能够改善、提升企业基本面与经营状况的定向增发股票进行投资，追求超越业绩比较基准的投资回报，力求实现基金资产的长期稳定增值。本基金按照基金合同约定自动转型为上市开放式基金(LOF)后，通过精选具有估值优势和成长优势的公司股票进行投资，力争获取超越业绩比较基准的收益，追求基金资产的长期稳定增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(二)投资范围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包括中小板股票,创业板股票及其他经中国证监会核准上市的股票,存托凭证),债券(国债,金融债,企业债券,公司债券,央行票据,中期票据,短期融资券,超短期融资券,次级债券,地方政府债券,可转换公司债券及分离交易可转债,可交换债券以及其他中国证监会允许投资的债券),资产支持证券,债券回购,非金融企业债务融资工具,同业存单,银行存款,现金,权证,股指期货以及法律法规或中国证监会允许基金投资的其他金融工具(但须符合中国证监会相关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本基金的投资组合比例为: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二年内(含第二年),股票资产占基金资产的比例为0%-100%;非公开发行股票资产占非现金基金资产的比例不低于80%;每个交易日日终,在扣除股指期货合约需缴纳的交易保证金后,本基金应当保持不低于交易保证金一倍的现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按照基金合同约定自动转型为上市开放式基金(LOF)后,股票资产占基金资产的比例为0%-95%;每个交易日日终,在扣除股指期货合约需缴纳的交易保证金后,保持不低于基金资产净值5%的现金或者到期日在一年以内的政府债券.如果法律法规或中国证监会变更投资品种的投资比例限制,基金管理人在履行适当程序后,可以调整上述投资品种的投资比例,其投资比例遵循届时有效的法律法规和相关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(三)投资策略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基金合同生效后二年内（含第二年），通过对国际和国内宏观经济、行业发展趋势和公司综合竞争力的分析、以及定向增发项目优势的深入研究，利用定向增发项目的事件性特征与折价优势，优选能够改善、提升企业基本面与经营状况的定向增发股票进行投资。将定向增发提升企业盈利水平与推动产业升级作为基金投资主线，形成以定向增发为核心的投资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1、大类资产配置策略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自上而下”的分析视角，综合考量中国宏观经济发展前景、国内股票市场的估值、国内债券市场收益率的期限结构、CPI与PPI变动趋势、外围主要经济体宏观经济与资本市场的运行状况等因素，分析研判货币市场、债券市场与股票市场的预期收益与风险，并据此进行大类资产的配置与组合构建，合理确定本基金在股票、债券、现金等金融工具上的投资比例，并随着各类金融工具风险收益特征的相对变化，适时动态地调整各金融工具的投资比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2、定向增发股票投资策略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从估值水平和发展前景两个角度出发，分析不同类别的定向增发项目对企业基本面与所处行业的影响。采取定性和定量分析相结合的方法对影响上市公司定向增发项目未来的价值进行全面的分析，精选定增资金能够在设定期间内显著提升公司盈利能力和优化产业结构的股票，在严格控制投资组合风险的前提下，对行业进行优化配置和动态调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股票定量分析方法将主要分析市场现有定向增发项目中各行业公司的估值指标（如市盈率、市净率、市盈率相对盈利增长比率、市销率、股息率等）、成长性指标（主营业务收入增长率、净利润增长率、毛利率增长率等）、现金流量指标和其他财务指标，从中选出价值相对低估、成长性确定、现金流量状况好、盈利能力和偿债能力强的公司，作为本基金的备选定向增发股票；再通过分析备选股票所代表的公司的资产收益率、资产周转率等变量的时间序列，以及通过对市场整体估值水平、行业估值水平、主要竞争对手估值水平的比较，并参考国际市场估值水平等来评估其投资价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定量分析的基础上，本基金的股票定性分析方法采用深度价值挖掘和多层面立体投资分析体系，从定向增发项目目的，定向增发对象结构，定向增发项目类别，并结合基金管理人的股票研究平台和产业投资平台，多层面地分析备选定向增发项目所对应的公司的业务环节的竞争优势和劣势，分析定向增发项目对公司未来的影响，公司管理方面的优势和劣势，分析定向增发项目对所处行业的波特五力结构与上下游产业的影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经过严格的定量分析和定性分析，最终确定股票投资组合。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本基金将定向增发根据其融资目的区分为两大类，当然实际案例中各种定增类型是相互交叉和渗透的，但企业价值提升的来源依然是以下两类：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（1）以推动企业业务内生增长为主要目的的定向增发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企业在现有主业大方向下，通过融资筹集资金，进行项目建设或者并购，期望通过提升规模经济、技术升级、适度上下游延伸发挥协同效应等提升企业内生增长能力。典型的项目类型包括但不限于：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该类定向增发项目往往主要体现为项目融资，也是定向增发项目中最常见的类别，占市场定向增发项目总量一半以上。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项目融资类的定向增发项目的特点在于公司在融资项目完成后，无法在短期显现其盈利能力。在项目完工后，公司的财务绩效逐步体现，公司盈利能力逐步改善。同时，募集资金的规模，机构投资者的认购比例对公司财务表现有一定的影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项目融资类定向增发项目将详细评估项目具体投资方向，预测其对企业基本面指标的影响，将通过筛选与分析业绩变化情况，自下而上评估，结合公司基本面情况，择优选取成长性好，安全边际高的公司进行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（2）以升级和改善企业产业结构为主要目的的定向增发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全社会经济发展方式转型的大背景下，企业通过各种形式的资本运作，对企业进行新的产业定位、扩展企业战略边界、提升企业在行业内地位，从而形成行业龙头、多主业模式、甚至主业转型。典型的项目类型包括但不限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1）大股东主导的定向增发投资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大股东主导的定向增发项目包括集团公司整体上市，实际控制人资产注入，公司间资产置换重组中发行对象包含大股东或者大股东关联方，以及融资收购资产中收购大股东资产的几种定向增发项目。从根本上来说，此类项目不仅直接改变公司的资产结构，同时也会对企业未来在生产、经营、管理等多个方面产生影响。本基金通过定性和定量方法对大股东的增资目的、增发资产的质量等方面，对定向增发项目可能带来的影响进行模拟分析，挑选具有绝对或相对估值吸引力的公司股票，再通过分析和评估股权变化，结合预期盈利水平和成长潜力，择优选取安全边际较高、成长性较好的公司进行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2）非大股东方参与资产重组的定向增发投资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通过定向增发项目实现资产重组是企业与其他主体对企业资产的分布状态进行重新组合、调整、配置的过程，或对设在企业资产上的权利进行重新配置的过程。重组前后公司的估值往往会有明显的改变。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此类资产重组为非大股东方参与，通常会对公司带来正面影响，本基金将关注资产重组类定向增发项目对增发公司业务范围、行业地位与市场份额的变化，通过定量与定性分析在市场上收集公开的事件信息，对事件影响中的公司进行分析与估值，挑选具有吸引力的公司股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3）融资收购非大股东方资产的定向增发投资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融资收购非大股东方资产的定向增发项目，长期来看，公司能够通过定向增发项目中收归的资产实现企业基本面指标的优化，通过上下游产业并购、合并同业竞争对手或跨行业并购实现公司主营业务的拓展，减少公司运营成本或大幅提升市场占有量来重组企业现有资源，提升经营业绩。重组前后公司的估值往往会有明显的改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本基金将着重关注此类定向增发项目对增发公司业务范围、行业地位与市场份额的变化，通过定量与定性分析在市场上收集公开的事件信息，对事件影响中的公司进行分析与估值，挑选具有吸引力的公司股票。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4）壳公司重组的定向增发投资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A股市场上市公司的稀缺性，壳公司重组类的定向增发对壳公司的基本面产生重大改变。其具体运作模式为非上市公司购买壳收购目标成为上市公司，本基金在投资壳公司重组的定向增发项目时，会考察借壳公司过往业绩，股东情况，业务前景，壳公司资产负债剥离情况等一系列财务与基本面指标，并结合行业分析与估值，挑选具有吸引力能够带来长期稳定收益的股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深入研究不同类别的定向增发项目在不同期限内对公司基本面的影响，分析基本面变化，本基金仅在一年期定增项目中根据定向增发项目类别择优参加，尽可能获取定向增发项目给投资人带来的超额收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3、债券投资策略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通过深入分析宏观经济数据、货币政策和利率变化趋势以及不同类属的收益率水平、流动性和信用风险等因素的基础上，构建债券投资组合。本基金运用久期控制策略、期限结构配置策略、类属配置策略、骑乘策略、杠杆放大策略等多种策略进行债券投资。在保持久期匹配的情况下，尽可能提高闲置资金的收益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4、资产支持证券投资策略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资产支持证券投资方面，本基金管理人首先将通过考量宏观经济形势、提前偿还率、违约率、资产池结构以及资产池资产所在行业景气情况等因素，预判资产池未来现金流变动趋势；其次，研究标的证券发行条款，预测提前偿还率变化对标的证券平均久期及收益率曲线的影响；最后，密切关注流动性变化对标的证券收益率的影响，在严格控制信用风险暴露程度的前提下，通过信用研究和流动性管理，选择风险调整后收益较高的品种进行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5、股指期货的投资策略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本基金可以参与股指期货的交易，但必须坚持风险管理的原则，并以套期保值为目的。本基金将根据对现货和期货市场的分析，相应采取多头套期保值或空头套期保值等操作。具体投资策略包括：</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避险。当市场风险大幅累积时，本基金将采取科学的方法确定合理的套期保值比例，并根据市场情况变化动态调整，在控制风险的前提下获取理想的套期保值效果，以降低基金投资组合因基础市场下跌而面临的市场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（2）有效管理。本基金将利用期货流动性好、交易成本低等特点，通过期货对投资组合的仓位进行及时调整，降低建仓或调仓过程中的冲击成本，提高投资组合的运作效率。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按照基金合同约定自动转型为上市开放式基金（LOF）后，在积极把握宏观经济周期、证券市场变化以及证券市场参与各方行为逻辑的基础上，通过精选具有估值优势和成长优势的公司股票进行投资，力争获取超越业绩比较基准的收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1、大类资产配置策略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自上而下”的分析视角，综合考量中国宏观经济发展前景、国内股票市场的估值、国内债券市场收益率的期限结构、CPI与PPI变动趋势、外围主要经济体宏观经济与资本市场的运行状况等因素，分析研判货币市场、债券市场与股票市场的预期收益与风险，并据此进行大类资产的配置与组合构建，合理确定本基金在股票、债券、现金等金融工具上的投资比例，并随着各类金融工具风险收益特征的相对变化，适时动态地调整各金融工具的投资比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2、股票投资策略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（1）行业配置策略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在进行行业配置时，将采用自上而下与自下而上相结合的方式确定行业权重。在投资组合管理过程中，基金管理人也将根据宏观经济形势以及各个行业的基本面特征对行业配置进行持续动态地调整。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1）自上而下的行业配置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自上而下的行业配置策略是指通过深入分析宏观经济指标和不同行业自身的周期变化特征以及在国民经济中所处的位置，确定在当前宏观背景下适宜投资的重点行业。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2）自下而上的行业配置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自下而上的行业配置策略是指从行业的成长能力、盈利趋势、价格动量、市场估值等因素来确定基金重点投资的行业。对行业的具体分析主要包括以下方面：：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A.景气分析</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行业的景气程度可通过观测销量、价格、产能利用率、库存、毛利率等关键指标进行跟踪。行业的景气程度与宏观经济、产业政策、竞争格局、科技发展与技术进步等因素密切相关。</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B.财务分析</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行业财务分析的主要目的是评价行业的成长性、成长的可持续性以及盈利质量，同时也是对行业景气分析结论的进一步确认。财务分析考量的关键指标主要包括净资产收益率、主营业务收入增长率、毛利率、净利率、存货周转率、应收账款周转率、经营性现金流状况、债务结构等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C.估值分析</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结合上述分析，本基金管理人将根据各行业的不同特点确定适合该行业的估值方法，同时参考可比国家类似行业的估值水平，来确定该行业的合理估值水平，并将合理估值水平与市场估值水平相比较，从而得出该行业高估、低估或中性的判断。估值分析中还将运用行业估值历史比较、行业间估值比较等相对估值方法进行辅助判断。</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此外，本基金还将运用数量化方法对上述行业配置策略进行辅助，并在适当情形下对行业配置进行战术性调整，使用的方法包括行业动量与反转策略，行业间相关性跟踪与分析等。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（2）优选个股策略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本基金将在行业配置的基础上，主要通过定量筛选和定性分析相结合的方式来考察和筛选具有综合性比较优势的品种。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1）定性分析</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本基金对上市公司的竞争优势进行定性评估。上市公司在行业中的相对竞争力是决定投资价值的重要依据，主要包括以下几个方面：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公司的竞争优势：重点考察公司的市场优势，包括市场地位和市场份额，在细分市场是否占据领先位置，是否具有品牌号召力或较高的行业知名度，在营销渠道及营销网络方面的优势和发展潜力等；资源优势，包括是否拥有独特优势的物资或非物质资源，比如市场资源、专利技术等；产品优势，包括是否拥有独特的、难以模仿的产品，对产品的定价能力等以及其他优势，例如是否受到中央或地方政府政策的扶持等因素；</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B、公司的盈利模式：对企业盈利模式的考察重点关注企业盈利模式的属性以及成熟程度，考察核心竞争力的不可复制性、可持续性、稳定性；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C、公司治理方面：考察上市公司是否有清晰、合理、可执行的发展战略；是否具有合理的治理结构，管理团队是否团结高效、经验丰富，是否具有进取精神等。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2）定量分析</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本基金将对反映上市公司质量和增长潜力的成长性指标、财务指标和估值指标等进行定量分析，以挑选具有成长优势、财务优势和估值优势的个股。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A、成长性指标：根据收入增长率、营业利润增长率和净利润增长率等来评价公司盈利的持续增长前景；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B、财务指标：根据毛利率、营业利润率、净利率、净资产收益率、经营活动净收益/利润总额等来判断公司的盈利能力；</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C、估值指标：根据市盈率（PE）、市净率（PB）、市盈率相对盈利增长比率（PEG）、市销率（PS）和总市值来判断公司的估值情况。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最后由基金经理结合定量和定性研究以及实地调研，筛选出增长空间广阔、发展布局合理、基本面健康、最具比较优势的个股作为本基金的核心投资标的，进行重点投资。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3、存托凭证投资策略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对于存托凭证投资，本基金将在深入研究的基础上，通过定性分析和定量分析相结合的方式，精选出具有比较优势的存托凭证。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4、债券投资策略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在债券投资方面，本基金将采取久期调整策略、类属配置策略、收益率曲线配置策略、个券精选策略，以兼顾投资组合的安全性、收益性与流动性。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（1）久期调整策略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把目标久期管理法作为本基金债券投资的核心策略，亦即通过对宏观经济状况和货币政策等因素的分析研判，形成对市场利率变动方向的预期，进而调整所持有的债券资产组合的目标久期，达到增加收益或减少损失的目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（2）类属配置策略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本基金将根据各市场、各券种的相对投资价值、流动性及信用风险，对各市场及各种类的固定收益类资产之间的比例进行适时、动态的分配和调整，确定最能符合本基金风险收益特征的债券资产组合。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（3）收益率曲线策略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在确定债券资产组合平均久期的基础上，根据利率期限结构的特点，进一步预测未来收益率曲线可能发生的形态变化，进而确定采用集中策略、哑铃策略或梯形策略等，在长期、中期和短期债券间进行配置，以从不同期限债券的相对价格变化中获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（4）个券精选策略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运用上述策略的基础上，本基金将通过分析个券的剩余期限与收益率的配比状况、信用等级状况、流动性指标等因素，选择风险收益配比最合理的个券作为投资对象。本基金还将密切关注市场定价错误和回购套利机会，积极把握基于超额收益带来的投资机会。此外，本基金还将根据基金申购、赎回等情况，对债券投资组合进行流动性管理，以增强基金资产的变现能力。</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5、资产支持证券投资策略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资产支持证券投资方面，本基金管理人首先将通过考量宏观经济形势、提前偿还率、违约率、资产池结构以及资产池资产所在行业景气情况等因素，预判资产池未来现金流变动趋势；其次，研究标的证券发行条款，预测提前偿还率变化对标的证券平均久期及收益率曲线的影响；最后，密切关注流动性变化对标的证券收益率的影响，在严格控制信用风险暴露程度的前提下，通过信用研究和流动性管理，选择风险调整后收益较高的品种进行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6、股指期货的投资策略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本基金可以参与股指期货的交易，但必须坚持风险管理的原则，并以套期保值为目的。本基金将根据对现货和期货市场的分析，相应采取多头套期保值或空头套期保值等操作。具体投资策略包括：</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避险。当市场风险大幅累积时，本基金将采取科学的方法确定合理的套期保值比例，并根据市场情况变化动态调整，在控制风险的前提下获取理想的套期保值效果，以降低基金投资组合因基础市场下跌而面临的市场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（2）有效管理。本基金将利用期货流动性好、交易成本低等特点，通过期货对投资组合的仓位进行及时调整，降低建仓或调仓过程中的冲击成本，提高投资组合的运作效率。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（四）投资决策依据和决策程序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（1）投资决策依据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1）法律法规和基金合同。本基金的投资将严格遵守国家有关法律、法规和基金的有关规定。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2）宏观经济和上市公司的基本面数据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3）投资对象的预期收益和预期风险的匹配关系。本基金将在承受适度风险的范围内，选择预期收益大于预期风险的品种进行投资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（2）投资决策程序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1）公司研究部通过内部独立研究，并借鉴其他研究机构的研究成果，形成宏观、政策、投资策略、行业和上市公司等分析报告，为公司投资决策委员会和基金经理提供决策依据。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2）公司投资决策委员会定期和不定期召开会议，根据本基金投资目标和对市场的判断决定本基金的总体投资策略，审核并批准基金经理提出的资产配置方案或重大投资决定。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3）在既定的投资目标与原则下，根据分析师基本面研究成果以及定量投资模型，由基金经理选择符合投资策略的品种进行投资。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4）独立的交易执行：本基金管理人通过严格的交易制度和实时的一线监控功能，保证基金经理的投资指令在合法、合规的前提下得到高效地执行。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5）动态的组合管理：基金经理将跟踪证券市场和上市公司的发展变化，结合本基金的现金流量情况，以及组合风险和流动性的评估结果，对投资组合进行动态的调整，使之不断得到优化。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(五)业绩比较基准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沪深300指数收益率×50%+中国债券总指数收益率×50%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股票投资部分选取沪深300指数作为业绩比较基准，该指数能够较为全面地反映中国股票市场的状况；债券投资部分选择中国债券总指数作为业绩比较基准，该指数能够较为全面地反映中国固定收益市场的状况，具有广泛的市场代表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今后法律法规发生变化，或者有更权威的、更能为市场普遍接受的业绩比较基准推出，或者是市场上出现更加适合用于本基金的业绩比较基准，经基金管理人与基金托管人协商，本基金可以在报中国证监会备案后变更业绩比较基准并及时公告，且无需召开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(六)风险收益特征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本基金是混合型证券投资基金，其预期收益和预期风险水平高于债券型基金和货币市场基金。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(七)投资限制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生效后二年内（含第二年），股票资产占基金资产的比例为0%-100%，非公开发行股票资产占非现金基金资产的比例不低于80%；本基金按照基金合同约定自动转型为上市开放式基金（LOF）后，股票资产占基金资产的比例为0%-95%；</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生效后二年内（含第二年），每个交易日日终在扣除股指期货合约需缴纳的交易保证金后，本基金应当保持不低于交易保证金一倍的现金；本基金按照基金合同约定自动转型为上市开放式基金（LOF）后，每个交易日日终，在扣除股指期货合约需缴纳的交易保证金后，应当保持不低于基金资产净值5%的现金或者到期日在一年以内的政府债券；其中，现金不包括结算备付金、存出保证金、应收申购款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（3）本基金持有一家公司发行的证券，其市值不超过基金资产净值的10%；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（4）本基金管理人管理的全部基金持有一家公司发行的证券，不超过该证券的10%；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（6）本基金持有的全部权证，其市值不得超过基金资产净值的3%；</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（7）本基金管理人管理的全部基金持有的同一权证，不得超过该权证的10%；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（8）本基金在任何交易日买入权证的总金额，不得超过上一交易日基金资产净值的0.5%；</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（9）本基金投资于同一原始权益人的各类资产支持证券的比例，不得超过基金资产净值的10%；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（10）本基金持有的全部资产支持证券，其市值不得超过基金资产净值的20%；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（11）本基金持有的同一(指同一信用级别)资产支持证券的比例，不得超过该资产支持证券规模的10%；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（12）本基金管理人管理的全部基金投资于同一原始权益人的各类资产支持证券，不得超过其各类资产支持证券合计规模的10%；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按照基金合同约定自动转型为上市开放式基金（LOF）后，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（14）本基金应投资于信用级别评级为BBB以上（含BBB）的资产支持证券。基金持有资产支持证券期间，如果其信用等级下降、不再符合投资标准，应在评级报告发布之日起3个月内予以全部卖出；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（15）本基金与私募类证券资管产品及中国证监会认定的其他主体为交易对手开展逆回购交易的，可接受质押品的资质要求应当与基金合同约定的投资范围保持一致；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（16）基金财产参与股票发行申购，本基金所申报的金额不超过本基金的总资产，本基金所申报的股票数量不超过拟发行股票公司本次发行股票的总量；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（17）本基金进入全国银行间同业市场进行债券回购的资金余额不得超过基金资产净值的40%，本基金进入全国银行间同业市场进行债券回购的最长期限为1年，债券回购到期后不得展期；</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（18）基金合同生效后二年内（含第二年），基金资产总值不得超过基金资产净值的200%；本基金按照基金合同约定自动转型为上市开放式基金（LOF）后，基金资产总值不得超过基金资产净值的140%；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（19）当本基金参与股指期货交易时，则需遵守下列投资比例限制：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1）本基金在任何交易日日终，持有的买入股指期货合约价值，不得超过基金资产净值的10%；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生效后二年内（含第二年），本基金在任何交易日日终，持有的买入期货合约价值与有价证券市值之和不得超过基金资产净值的100%；本基金按照基金合同约定自动转型为上市开放式基金（LOF）后，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3）本基金在任何交易日日终，持有的卖出期货合约价值不得超过基金持有的股票总市值的20%；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4）本基金所持有的股票市值和买入、卖出股指期货合约价值，合计（轧差计算）应当符合本基金合同关于股票投资比例的有关约定；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（20）本基金投资存托凭证的比例限制依照境内上市交易的股票执行，与境内上市交易的股票合并计算；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（21）法律法规及中国证监会规定的和基金合同约定的其他投资限制。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2）、（13）、（14）、（15）项外，因证券市场及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本基金投资流通受限证券，基金管理人应根据中国证监会相关规定进行投资。基金管理人应制订严格的投资决策流程和风险控制制度，防范流动性风险、法律风险和操作风险等各种风险。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本基金持有证券期间，如发生证券处于流通受限状态等非基金管理人原因导致基金投资比例不符合前述规定的，基金管理人应在上述情形消除后的10个交易日内调整完毕。法律法规另有规定的，从其规定。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对上述第（1）-（21）项投资组合比例限制进行变更的，本基金在履行适当程序后，可相应调整投资比例限制规定，不需经基金份额持有人大会审议。法律法规或监管部门取消上述限制，如适用于本基金，则本基金投资不再受相关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法律、行政法规或监管部门取消上述限制，如适用于本基金，则本基金投资不再受相关限制。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（八）基金管理人代表基金行使相关权利的处理原则及方法</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1、有利于基金资产的安全与增值；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2、基金管理人按照国家有关规定代表基金独立行使相关权利，保护基金份额持有人的利益；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3、不谋求对上市公司的控股；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4、不通过关联交易为自身、雇员、授权代理人或任何存在利害关系的第三人牟取任何不当利益。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（九）侧袋机制的实施和投资运作安排</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侧袋机制实施期间，本部分约定的投资组合比例、投资策略、组合限制、业绩比较基准、风险收益特征等约定仅适用于主袋账户。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侧袋账户的实施条件、实施程序、运作安排、投资安排、特定资产的处置变现和支付等对投资者权益有重大影响的事项详见本招募说明书“侧袋机制”部分的规定。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（十）投资组合报告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基金管理人银华基金管理股份有限公司的董事会及董事保证本报告所载资料不存在虚假记载、误导性陈述或重大遗漏，并对其内容的真实性、准确性和完整性承担个别及连带责任。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基金托管人中国工商银行股份有限公司根据基金合同规定复核了本报告中的财务指标、净值表现和投资组合报告等内容，保证复核内容不存在虚假记载、误导性陈述或者重大遗漏。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本投资组合报告所载数据截至2025年09月30日（财务数据未经审计）。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1、报告期末基金资产组合情况</w:t>
      </w:r>
    </w:p>
    <w:tbl>
      <w:tblPr>
        <w:tblW w:w="5000" w:type="pct"/>
        <w:tblLayout w:type="fixed"/>
        <w:tblCellMar>
          <w:left w:w="0" w:type="dxa"/>
          <w:right w:w="0" w:type="dxa"/>
        </w:tblCellMar>
        <w:tblLook w:val="0000" w:firstRow="0" w:lastRow="0" w:firstColumn="0" w:lastColumn="0" w:noHBand="0" w:noVBand="0"/>
      </w:tblPr>
      <w:tblGrid>
        <w:gridCol w:w="1420"/>
        <w:gridCol w:w="3080"/>
        <w:gridCol w:w="2085"/>
        <w:gridCol w:w="2085"/>
      </w:tblGrid>
      <w:tr w:rsidR="00D12302">
        <w:trPr>
          <w:cantSplit/>
          <w:trHeight w:val="375"/>
        </w:trPr>
        <w:tc>
          <w:tcPr>
            <w:tcW w:w="11"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序号</w:t>
            </w:r>
          </w:p>
        </w:tc>
        <w:tc>
          <w:tcPr>
            <w:tcW w:w="65"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项目</w:t>
            </w:r>
          </w:p>
        </w:tc>
        <w:tc>
          <w:tcPr>
            <w:tcW w:w="44"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金额（元）</w:t>
            </w:r>
          </w:p>
        </w:tc>
        <w:tc>
          <w:tcPr>
            <w:tcW w:w="44"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占基金总资产的比例（%）</w:t>
            </w:r>
          </w:p>
        </w:tc>
      </w:tr>
      <w:tr w:rsidR="00D12302">
        <w:trPr>
          <w:cantSplit/>
          <w:trHeight w:val="375"/>
        </w:trPr>
        <w:tc>
          <w:tcPr>
            <w:tcW w:w="1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w:t>
            </w:r>
          </w:p>
        </w:tc>
        <w:tc>
          <w:tcPr>
            <w:tcW w:w="6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权益投资</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637,915,665.54</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86.35</w:t>
            </w:r>
          </w:p>
        </w:tc>
      </w:tr>
      <w:tr w:rsidR="00D12302">
        <w:trPr>
          <w:cantSplit/>
          <w:trHeight w:val="375"/>
        </w:trPr>
        <w:tc>
          <w:tcPr>
            <w:tcW w:w="11" w:type="dxa"/>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left"/>
              <w:rPr>
                <w:rFonts w:ascii="宋体" w:hAnsi="宋体"/>
                <w:color w:val="000000"/>
                <w:kern w:val="0"/>
                <w:sz w:val="25"/>
                <w:szCs w:val="24"/>
              </w:rPr>
            </w:pPr>
          </w:p>
        </w:tc>
        <w:tc>
          <w:tcPr>
            <w:tcW w:w="6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其中：股票</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637,915,665.54</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86.35</w:t>
            </w:r>
          </w:p>
        </w:tc>
      </w:tr>
      <w:tr w:rsidR="00D12302">
        <w:trPr>
          <w:cantSplit/>
          <w:trHeight w:val="375"/>
        </w:trPr>
        <w:tc>
          <w:tcPr>
            <w:tcW w:w="1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2</w:t>
            </w:r>
          </w:p>
        </w:tc>
        <w:tc>
          <w:tcPr>
            <w:tcW w:w="6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基金投资</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3</w:t>
            </w:r>
          </w:p>
        </w:tc>
        <w:tc>
          <w:tcPr>
            <w:tcW w:w="6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固定收益投资</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202,349.86</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0.03</w:t>
            </w:r>
          </w:p>
        </w:tc>
      </w:tr>
      <w:tr w:rsidR="00D12302">
        <w:trPr>
          <w:cantSplit/>
          <w:trHeight w:val="375"/>
        </w:trPr>
        <w:tc>
          <w:tcPr>
            <w:tcW w:w="11" w:type="dxa"/>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left"/>
              <w:rPr>
                <w:rFonts w:ascii="宋体" w:hAnsi="宋体"/>
                <w:color w:val="000000"/>
                <w:kern w:val="0"/>
                <w:sz w:val="25"/>
                <w:szCs w:val="24"/>
              </w:rPr>
            </w:pPr>
          </w:p>
        </w:tc>
        <w:tc>
          <w:tcPr>
            <w:tcW w:w="6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其中：债券</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202,349.86</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0.03</w:t>
            </w:r>
          </w:p>
        </w:tc>
      </w:tr>
      <w:tr w:rsidR="00D12302">
        <w:trPr>
          <w:cantSplit/>
          <w:trHeight w:val="375"/>
        </w:trPr>
        <w:tc>
          <w:tcPr>
            <w:tcW w:w="11" w:type="dxa"/>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left"/>
              <w:rPr>
                <w:rFonts w:ascii="宋体" w:hAnsi="宋体"/>
                <w:color w:val="000000"/>
                <w:kern w:val="0"/>
                <w:sz w:val="25"/>
                <w:szCs w:val="24"/>
              </w:rPr>
            </w:pPr>
          </w:p>
        </w:tc>
        <w:tc>
          <w:tcPr>
            <w:tcW w:w="6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资产支持证券</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4</w:t>
            </w:r>
          </w:p>
        </w:tc>
        <w:tc>
          <w:tcPr>
            <w:tcW w:w="6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贵金属投资</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5</w:t>
            </w:r>
          </w:p>
        </w:tc>
        <w:tc>
          <w:tcPr>
            <w:tcW w:w="6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金融衍生品投资</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6</w:t>
            </w:r>
          </w:p>
        </w:tc>
        <w:tc>
          <w:tcPr>
            <w:tcW w:w="6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买入返售金融资产</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39,979,484.93</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5.41</w:t>
            </w:r>
          </w:p>
        </w:tc>
      </w:tr>
      <w:tr w:rsidR="00D12302">
        <w:trPr>
          <w:cantSplit/>
          <w:trHeight w:val="375"/>
        </w:trPr>
        <w:tc>
          <w:tcPr>
            <w:tcW w:w="11" w:type="dxa"/>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left"/>
              <w:rPr>
                <w:rFonts w:ascii="宋体" w:hAnsi="宋体"/>
                <w:color w:val="000000"/>
                <w:kern w:val="0"/>
                <w:sz w:val="25"/>
                <w:szCs w:val="24"/>
              </w:rPr>
            </w:pPr>
          </w:p>
        </w:tc>
        <w:tc>
          <w:tcPr>
            <w:tcW w:w="6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其中：买断式回购的买入返售金融资产</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7</w:t>
            </w:r>
          </w:p>
        </w:tc>
        <w:tc>
          <w:tcPr>
            <w:tcW w:w="6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银行存款和结算备付金合计</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47,101,728.92</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6.38</w:t>
            </w:r>
          </w:p>
        </w:tc>
      </w:tr>
      <w:tr w:rsidR="00D12302">
        <w:trPr>
          <w:cantSplit/>
          <w:trHeight w:val="375"/>
        </w:trPr>
        <w:tc>
          <w:tcPr>
            <w:tcW w:w="1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8</w:t>
            </w:r>
          </w:p>
        </w:tc>
        <w:tc>
          <w:tcPr>
            <w:tcW w:w="6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其他资产</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13,575,056.72</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1.84</w:t>
            </w:r>
          </w:p>
        </w:tc>
      </w:tr>
      <w:tr w:rsidR="00D12302">
        <w:trPr>
          <w:cantSplit/>
          <w:trHeight w:val="375"/>
        </w:trPr>
        <w:tc>
          <w:tcPr>
            <w:tcW w:w="1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9</w:t>
            </w:r>
          </w:p>
        </w:tc>
        <w:tc>
          <w:tcPr>
            <w:tcW w:w="6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合计</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738,774,285.97</w:t>
            </w:r>
          </w:p>
        </w:tc>
        <w:tc>
          <w:tcPr>
            <w:tcW w:w="4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100.00</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2、报告期末按行业分类的股票投资组合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 报告期末按行业分类的境内股票投资组合</w:t>
      </w:r>
    </w:p>
    <w:tbl>
      <w:tblPr>
        <w:tblW w:w="5000" w:type="pct"/>
        <w:tblLayout w:type="fixed"/>
        <w:tblCellMar>
          <w:left w:w="0" w:type="dxa"/>
          <w:right w:w="0" w:type="dxa"/>
        </w:tblCellMar>
        <w:tblLook w:val="0000" w:firstRow="0" w:lastRow="0" w:firstColumn="0" w:lastColumn="0" w:noHBand="0" w:noVBand="0"/>
      </w:tblPr>
      <w:tblGrid>
        <w:gridCol w:w="1233"/>
        <w:gridCol w:w="2342"/>
        <w:gridCol w:w="2465"/>
        <w:gridCol w:w="2630"/>
      </w:tblGrid>
      <w:tr w:rsidR="00D12302">
        <w:trPr>
          <w:cantSplit/>
          <w:trHeight w:val="375"/>
        </w:trPr>
        <w:tc>
          <w:tcPr>
            <w:tcW w:w="14"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代码</w:t>
            </w:r>
          </w:p>
        </w:tc>
        <w:tc>
          <w:tcPr>
            <w:tcW w:w="57"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行业类别</w:t>
            </w:r>
          </w:p>
        </w:tc>
        <w:tc>
          <w:tcPr>
            <w:tcW w:w="60"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公允价值（元）</w:t>
            </w:r>
          </w:p>
        </w:tc>
        <w:tc>
          <w:tcPr>
            <w:tcW w:w="34"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占基金资产净值比例（%）</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A</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农、林、牧、渔业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B</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采矿业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5,380,963.10</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0.74</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C</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制造业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517,567,261.81</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70.85</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D</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电力、热力、燃气及水生产和供应业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2,887,607.98</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0.40</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E</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建筑业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F</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批发和零售业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125,721.31</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0.02</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G</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交通运输、仓储和邮政业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H</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住宿和餐饮业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5,387,788.00</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0.74</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I</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信息传输、软件和信息技术服务业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19,874,815.72</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2.72</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J</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金融业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86,642,040.80</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11.86</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K</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房地产业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L</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租赁和商务服务业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M</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科学研究和技术服务业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49,466.82</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0.01</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N</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水利、环境和公共设施管理业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O</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居民服务、修理和其他服务业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P</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教育</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Q</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卫生和社会工作</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R</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文化、体育和娱乐业</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S</w:t>
            </w: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综合</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4" w:type="dxa"/>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left"/>
              <w:rPr>
                <w:rFonts w:ascii="宋体" w:hAnsi="宋体"/>
                <w:color w:val="000000"/>
                <w:kern w:val="0"/>
                <w:sz w:val="25"/>
                <w:szCs w:val="24"/>
              </w:rPr>
            </w:pPr>
          </w:p>
        </w:tc>
        <w:tc>
          <w:tcPr>
            <w:tcW w:w="3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合计</w:t>
            </w:r>
          </w:p>
        </w:tc>
        <w:tc>
          <w:tcPr>
            <w:tcW w:w="5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637,915,665.54</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87.33</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 报告期末按行业分类的港股通投资股票投资组合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注：本基金本报告期末未持有港股通投资股票。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3、期末按公允价值占基金资产净值比例大小排序的股票投资明细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 报告期末按公允价值占基金资产净值比例大小排序的前十名股票投资明细</w:t>
      </w:r>
    </w:p>
    <w:tbl>
      <w:tblPr>
        <w:tblW w:w="5000" w:type="pct"/>
        <w:tblLayout w:type="fixed"/>
        <w:tblCellMar>
          <w:left w:w="0" w:type="dxa"/>
          <w:right w:w="0" w:type="dxa"/>
        </w:tblCellMar>
        <w:tblLook w:val="0000" w:firstRow="0" w:lastRow="0" w:firstColumn="0" w:lastColumn="0" w:noHBand="0" w:noVBand="0"/>
      </w:tblPr>
      <w:tblGrid>
        <w:gridCol w:w="1256"/>
        <w:gridCol w:w="1257"/>
        <w:gridCol w:w="1759"/>
        <w:gridCol w:w="1257"/>
        <w:gridCol w:w="1382"/>
        <w:gridCol w:w="1759"/>
      </w:tblGrid>
      <w:tr w:rsidR="00D12302">
        <w:trPr>
          <w:cantSplit/>
          <w:trHeight w:val="375"/>
        </w:trPr>
        <w:tc>
          <w:tcPr>
            <w:tcW w:w="8"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序号</w:t>
            </w:r>
          </w:p>
        </w:tc>
        <w:tc>
          <w:tcPr>
            <w:tcW w:w="18"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股票代码</w:t>
            </w:r>
          </w:p>
        </w:tc>
        <w:tc>
          <w:tcPr>
            <w:tcW w:w="42"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股票名称</w:t>
            </w:r>
          </w:p>
        </w:tc>
        <w:tc>
          <w:tcPr>
            <w:tcW w:w="21"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数量（股）</w:t>
            </w:r>
          </w:p>
        </w:tc>
        <w:tc>
          <w:tcPr>
            <w:tcW w:w="33"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公允价值（元）</w:t>
            </w:r>
          </w:p>
        </w:tc>
        <w:tc>
          <w:tcPr>
            <w:tcW w:w="42"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占基金资产净值比例（%）</w:t>
            </w:r>
          </w:p>
        </w:tc>
      </w:tr>
      <w:tr w:rsidR="00D12302">
        <w:trPr>
          <w:cantSplit/>
          <w:trHeight w:val="375"/>
        </w:trPr>
        <w:tc>
          <w:tcPr>
            <w:tcW w:w="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w:t>
            </w:r>
          </w:p>
        </w:tc>
        <w:tc>
          <w:tcPr>
            <w:tcW w:w="1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002475</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立讯精密</w:t>
            </w:r>
          </w:p>
        </w:tc>
        <w:tc>
          <w:tcPr>
            <w:tcW w:w="2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640,500</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41,433,945.00</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5.67</w:t>
            </w:r>
          </w:p>
        </w:tc>
      </w:tr>
      <w:tr w:rsidR="00D12302">
        <w:trPr>
          <w:cantSplit/>
          <w:trHeight w:val="375"/>
        </w:trPr>
        <w:tc>
          <w:tcPr>
            <w:tcW w:w="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2</w:t>
            </w:r>
          </w:p>
        </w:tc>
        <w:tc>
          <w:tcPr>
            <w:tcW w:w="1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688981</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中芯国际</w:t>
            </w:r>
          </w:p>
        </w:tc>
        <w:tc>
          <w:tcPr>
            <w:tcW w:w="2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291,679</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40,872,978.27</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5.60</w:t>
            </w:r>
          </w:p>
        </w:tc>
      </w:tr>
      <w:tr w:rsidR="00D12302">
        <w:trPr>
          <w:cantSplit/>
          <w:trHeight w:val="375"/>
        </w:trPr>
        <w:tc>
          <w:tcPr>
            <w:tcW w:w="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3</w:t>
            </w:r>
          </w:p>
        </w:tc>
        <w:tc>
          <w:tcPr>
            <w:tcW w:w="1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600276</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恒瑞医药</w:t>
            </w:r>
          </w:p>
        </w:tc>
        <w:tc>
          <w:tcPr>
            <w:tcW w:w="2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428,120</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30,631,986.00</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4.19</w:t>
            </w:r>
          </w:p>
        </w:tc>
      </w:tr>
      <w:tr w:rsidR="00D12302">
        <w:trPr>
          <w:cantSplit/>
          <w:trHeight w:val="375"/>
        </w:trPr>
        <w:tc>
          <w:tcPr>
            <w:tcW w:w="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4</w:t>
            </w:r>
          </w:p>
        </w:tc>
        <w:tc>
          <w:tcPr>
            <w:tcW w:w="1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002241</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歌尔股份</w:t>
            </w:r>
          </w:p>
        </w:tc>
        <w:tc>
          <w:tcPr>
            <w:tcW w:w="2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705,000</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26,437,500.00</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3.62</w:t>
            </w:r>
          </w:p>
        </w:tc>
      </w:tr>
      <w:tr w:rsidR="00D12302">
        <w:trPr>
          <w:cantSplit/>
          <w:trHeight w:val="375"/>
        </w:trPr>
        <w:tc>
          <w:tcPr>
            <w:tcW w:w="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5</w:t>
            </w:r>
          </w:p>
        </w:tc>
        <w:tc>
          <w:tcPr>
            <w:tcW w:w="1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688347</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华虹公司</w:t>
            </w:r>
          </w:p>
        </w:tc>
        <w:tc>
          <w:tcPr>
            <w:tcW w:w="2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205,984</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23,597,527.04</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3.23</w:t>
            </w:r>
          </w:p>
        </w:tc>
      </w:tr>
      <w:tr w:rsidR="00D12302">
        <w:trPr>
          <w:cantSplit/>
          <w:trHeight w:val="375"/>
        </w:trPr>
        <w:tc>
          <w:tcPr>
            <w:tcW w:w="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6</w:t>
            </w:r>
          </w:p>
        </w:tc>
        <w:tc>
          <w:tcPr>
            <w:tcW w:w="1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300433</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蓝思科技</w:t>
            </w:r>
          </w:p>
        </w:tc>
        <w:tc>
          <w:tcPr>
            <w:tcW w:w="2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684,909</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22,930,753.32</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3.14</w:t>
            </w:r>
          </w:p>
        </w:tc>
      </w:tr>
      <w:tr w:rsidR="00D12302">
        <w:trPr>
          <w:cantSplit/>
          <w:trHeight w:val="375"/>
        </w:trPr>
        <w:tc>
          <w:tcPr>
            <w:tcW w:w="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7</w:t>
            </w:r>
          </w:p>
        </w:tc>
        <w:tc>
          <w:tcPr>
            <w:tcW w:w="1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600438</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通威股份</w:t>
            </w:r>
          </w:p>
        </w:tc>
        <w:tc>
          <w:tcPr>
            <w:tcW w:w="2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883,100</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19,684,299.00</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2.69</w:t>
            </w:r>
          </w:p>
        </w:tc>
      </w:tr>
      <w:tr w:rsidR="00D12302">
        <w:trPr>
          <w:cantSplit/>
          <w:trHeight w:val="375"/>
        </w:trPr>
        <w:tc>
          <w:tcPr>
            <w:tcW w:w="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8</w:t>
            </w:r>
          </w:p>
        </w:tc>
        <w:tc>
          <w:tcPr>
            <w:tcW w:w="1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600031</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三一重工</w:t>
            </w:r>
          </w:p>
        </w:tc>
        <w:tc>
          <w:tcPr>
            <w:tcW w:w="2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705,800</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16,402,792.00</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2.25</w:t>
            </w:r>
          </w:p>
        </w:tc>
      </w:tr>
      <w:tr w:rsidR="00D12302">
        <w:trPr>
          <w:cantSplit/>
          <w:trHeight w:val="375"/>
        </w:trPr>
        <w:tc>
          <w:tcPr>
            <w:tcW w:w="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9</w:t>
            </w:r>
          </w:p>
        </w:tc>
        <w:tc>
          <w:tcPr>
            <w:tcW w:w="1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002179</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中航光电</w:t>
            </w:r>
          </w:p>
        </w:tc>
        <w:tc>
          <w:tcPr>
            <w:tcW w:w="2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388,600</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16,037,522.00</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2.20</w:t>
            </w:r>
          </w:p>
        </w:tc>
      </w:tr>
      <w:tr w:rsidR="00D12302">
        <w:trPr>
          <w:cantSplit/>
          <w:trHeight w:val="375"/>
        </w:trPr>
        <w:tc>
          <w:tcPr>
            <w:tcW w:w="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10</w:t>
            </w:r>
          </w:p>
        </w:tc>
        <w:tc>
          <w:tcPr>
            <w:tcW w:w="1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002311</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海大集团</w:t>
            </w:r>
          </w:p>
        </w:tc>
        <w:tc>
          <w:tcPr>
            <w:tcW w:w="2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247,900</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15,808,583.00</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2.16</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4、报告期末按债券品种分类的债券投资组合</w:t>
      </w:r>
    </w:p>
    <w:tbl>
      <w:tblPr>
        <w:tblW w:w="5000" w:type="pct"/>
        <w:tblLayout w:type="fixed"/>
        <w:tblCellMar>
          <w:left w:w="0" w:type="dxa"/>
          <w:right w:w="0" w:type="dxa"/>
        </w:tblCellMar>
        <w:tblLook w:val="0000" w:firstRow="0" w:lastRow="0" w:firstColumn="0" w:lastColumn="0" w:noHBand="0" w:noVBand="0"/>
      </w:tblPr>
      <w:tblGrid>
        <w:gridCol w:w="1461"/>
        <w:gridCol w:w="2046"/>
        <w:gridCol w:w="2046"/>
        <w:gridCol w:w="3117"/>
      </w:tblGrid>
      <w:tr w:rsidR="00D12302">
        <w:trPr>
          <w:cantSplit/>
          <w:trHeight w:val="375"/>
        </w:trPr>
        <w:tc>
          <w:tcPr>
            <w:tcW w:w="17"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序号</w:t>
            </w:r>
          </w:p>
        </w:tc>
        <w:tc>
          <w:tcPr>
            <w:tcW w:w="42"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债券品种</w:t>
            </w:r>
          </w:p>
        </w:tc>
        <w:tc>
          <w:tcPr>
            <w:tcW w:w="42"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公允价值（元）</w:t>
            </w:r>
          </w:p>
        </w:tc>
        <w:tc>
          <w:tcPr>
            <w:tcW w:w="64"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占基金资产净值比例（%）</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国家债券</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202,349.86</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0.03</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2</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央行票据</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3</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金融债券</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D12302">
            <w:pPr>
              <w:widowControl/>
              <w:snapToGrid w:val="0"/>
              <w:jc w:val="left"/>
              <w:rPr>
                <w:rFonts w:ascii="宋体" w:hAnsi="宋体"/>
                <w:color w:val="000000"/>
                <w:kern w:val="0"/>
                <w:sz w:val="25"/>
                <w:szCs w:val="24"/>
              </w:rPr>
            </w:pP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其中：政策性金融债</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4</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企业债券</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5</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企业短期融资券</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6</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中期票据</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7</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可转债（可交换债）</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8</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同业存单</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9</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其他</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10</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合计</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202,349.86</w:t>
            </w:r>
          </w:p>
        </w:tc>
        <w:tc>
          <w:tcPr>
            <w:tcW w:w="6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0.03</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5、报告期末按公允价值占基金资产净值比例大小排序的前五名债券投资明细</w:t>
      </w:r>
    </w:p>
    <w:tbl>
      <w:tblPr>
        <w:tblW w:w="5000" w:type="pct"/>
        <w:tblLayout w:type="fixed"/>
        <w:tblCellMar>
          <w:left w:w="0" w:type="dxa"/>
          <w:right w:w="0" w:type="dxa"/>
        </w:tblCellMar>
        <w:tblLook w:val="0000" w:firstRow="0" w:lastRow="0" w:firstColumn="0" w:lastColumn="0" w:noHBand="0" w:noVBand="0"/>
      </w:tblPr>
      <w:tblGrid>
        <w:gridCol w:w="1256"/>
        <w:gridCol w:w="1257"/>
        <w:gridCol w:w="1759"/>
        <w:gridCol w:w="1257"/>
        <w:gridCol w:w="1382"/>
        <w:gridCol w:w="1759"/>
      </w:tblGrid>
      <w:tr w:rsidR="00D12302">
        <w:trPr>
          <w:cantSplit/>
          <w:trHeight w:val="375"/>
        </w:trPr>
        <w:tc>
          <w:tcPr>
            <w:tcW w:w="8"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序号</w:t>
            </w:r>
          </w:p>
        </w:tc>
        <w:tc>
          <w:tcPr>
            <w:tcW w:w="18"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债券代码</w:t>
            </w:r>
          </w:p>
        </w:tc>
        <w:tc>
          <w:tcPr>
            <w:tcW w:w="42"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债券名称</w:t>
            </w:r>
          </w:p>
        </w:tc>
        <w:tc>
          <w:tcPr>
            <w:tcW w:w="21"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数量（张）</w:t>
            </w:r>
          </w:p>
        </w:tc>
        <w:tc>
          <w:tcPr>
            <w:tcW w:w="33"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公允价值（元）</w:t>
            </w:r>
          </w:p>
        </w:tc>
        <w:tc>
          <w:tcPr>
            <w:tcW w:w="42"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占基金资产净值比例（%）</w:t>
            </w:r>
          </w:p>
        </w:tc>
      </w:tr>
      <w:tr w:rsidR="00D12302">
        <w:trPr>
          <w:cantSplit/>
          <w:trHeight w:val="375"/>
        </w:trPr>
        <w:tc>
          <w:tcPr>
            <w:tcW w:w="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w:t>
            </w:r>
          </w:p>
        </w:tc>
        <w:tc>
          <w:tcPr>
            <w:tcW w:w="18"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102287</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国债2422</w:t>
            </w:r>
          </w:p>
        </w:tc>
        <w:tc>
          <w:tcPr>
            <w:tcW w:w="21"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2,000</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202,349.86</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0.03</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6、报告期末按公允价值占基金资产净值比例大小排序的前十名资产支持证券投资明细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注：本基金本报告期末未持有资产支持证券。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7、报告期末按公允价值占基金资产净值比例大小排序的前五名贵金属投资明细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注：本基金本报告期末未持有贵金属。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8、报告期末按公允价值占基金资产净值比例大小排序的前五名权证投资明细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注：本基金本报告期末未持有权证。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9、报告期末本基金投资的股指期货交易情况说明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 报告期末本基金投资的股指期货持仓和损益明细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注：本基金本报告期末未持有股指期货。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 本基金投资股指期货的投资政策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本基金在本报告期未投资股指期货。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10、报告期末本基金投资的国债期货交易情况说明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 本期国债期货投资政策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本基金在本报告期未投资国债期货。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 报告期末本基金投资的国债期货持仓和损益明细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注：本基金本报告期末未持有国债期货。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 本期国债期货投资评价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本基金在本报告期未投资国债期货。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11、投资组合报告附注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本基金投资的前十名证券的发行主体本期不存在被监管部门立案调查，或在报告编制日前一年内受到公开谴责、处罚的情形。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11.2 基金投资的前十名股票是否超出基金合同规定的备选股票库</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本基金投资的前十名股票没有超出基金合同规定的备选股票库之外的情形。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11.3 其他资产构成</w:t>
      </w:r>
    </w:p>
    <w:tbl>
      <w:tblPr>
        <w:tblW w:w="5000" w:type="pct"/>
        <w:tblLayout w:type="fixed"/>
        <w:tblCellMar>
          <w:left w:w="0" w:type="dxa"/>
          <w:right w:w="0" w:type="dxa"/>
        </w:tblCellMar>
        <w:tblLook w:val="0000" w:firstRow="0" w:lastRow="0" w:firstColumn="0" w:lastColumn="0" w:noHBand="0" w:noVBand="0"/>
      </w:tblPr>
      <w:tblGrid>
        <w:gridCol w:w="1461"/>
        <w:gridCol w:w="2046"/>
        <w:gridCol w:w="5163"/>
      </w:tblGrid>
      <w:tr w:rsidR="00D12302">
        <w:trPr>
          <w:cantSplit/>
          <w:trHeight w:val="375"/>
        </w:trPr>
        <w:tc>
          <w:tcPr>
            <w:tcW w:w="17"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序号</w:t>
            </w:r>
          </w:p>
        </w:tc>
        <w:tc>
          <w:tcPr>
            <w:tcW w:w="42"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名称</w:t>
            </w:r>
          </w:p>
        </w:tc>
        <w:tc>
          <w:tcPr>
            <w:tcW w:w="106" w:type="dxa"/>
            <w:tcBorders>
              <w:top w:val="single" w:sz="4" w:space="0" w:color="auto"/>
              <w:left w:val="single" w:sz="4" w:space="0" w:color="auto"/>
              <w:bottom w:val="single" w:sz="4" w:space="0" w:color="auto"/>
              <w:right w:val="single" w:sz="4" w:space="0" w:color="auto"/>
            </w:tcBorders>
            <w:shd w:val="clear" w:color="auto" w:fill="D9D9D9"/>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金额（元）</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存出保证金</w:t>
            </w:r>
          </w:p>
        </w:tc>
        <w:tc>
          <w:tcPr>
            <w:tcW w:w="10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549,741.64</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2</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应收证券清算款</w:t>
            </w:r>
          </w:p>
        </w:tc>
        <w:tc>
          <w:tcPr>
            <w:tcW w:w="10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12,884,247.23</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3</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应收股利</w:t>
            </w:r>
          </w:p>
        </w:tc>
        <w:tc>
          <w:tcPr>
            <w:tcW w:w="10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4</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应收利息</w:t>
            </w:r>
          </w:p>
        </w:tc>
        <w:tc>
          <w:tcPr>
            <w:tcW w:w="10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5</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应收申购款</w:t>
            </w:r>
          </w:p>
        </w:tc>
        <w:tc>
          <w:tcPr>
            <w:tcW w:w="10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140,703.71</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6</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其他应收款</w:t>
            </w:r>
          </w:p>
        </w:tc>
        <w:tc>
          <w:tcPr>
            <w:tcW w:w="10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364.14</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7</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其他</w:t>
            </w:r>
          </w:p>
        </w:tc>
        <w:tc>
          <w:tcPr>
            <w:tcW w:w="10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w:t>
            </w:r>
          </w:p>
        </w:tc>
      </w:tr>
      <w:tr w:rsidR="00D12302">
        <w:trPr>
          <w:cantSplit/>
          <w:trHeight w:val="375"/>
        </w:trPr>
        <w:tc>
          <w:tcPr>
            <w:tcW w:w="1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8</w:t>
            </w:r>
          </w:p>
        </w:tc>
        <w:tc>
          <w:tcPr>
            <w:tcW w:w="4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合计</w:t>
            </w:r>
          </w:p>
        </w:tc>
        <w:tc>
          <w:tcPr>
            <w:tcW w:w="10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right"/>
              <w:rPr>
                <w:rFonts w:ascii="宋体" w:hAnsi="宋体"/>
                <w:color w:val="000000"/>
                <w:kern w:val="0"/>
                <w:sz w:val="25"/>
                <w:szCs w:val="24"/>
              </w:rPr>
            </w:pPr>
            <w:r>
              <w:rPr>
                <w:rFonts w:ascii="宋体" w:hAnsi="宋体"/>
                <w:color w:val="000000"/>
                <w:kern w:val="0"/>
                <w:sz w:val="25"/>
                <w:szCs w:val="24"/>
              </w:rPr>
              <w:t>13,575,056.72</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 报告期末持有的处于转股期的可转换债券明细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注：本基金本报告期末未持有处于转股期的可转换债券。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 报告期末前十名股票中存在流通受限情况的说明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注：本基金本报告期末前十名股票中不存在流通受限的情况。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 投资组合报告附注的其他文字描述部分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由于四舍五入的原因，各比例的分项之和与合计可能有尾差。</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14" w:name="_Toc218779112"/>
      <w:r>
        <w:rPr>
          <w:rFonts w:ascii="宋体" w:hAnsi="宋体"/>
          <w:sz w:val="30"/>
        </w:rPr>
        <w:t>十一、基金的业绩</w:t>
      </w:r>
      <w:bookmarkEnd w:id="14"/>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者在做出投资决策前应仔细阅读本基金的招募说明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本基金A类基金份额净值增长率与业绩比较基准收益率比较表：</w:t>
      </w:r>
    </w:p>
    <w:tbl>
      <w:tblPr>
        <w:tblW w:w="5000" w:type="pct"/>
        <w:tblLayout w:type="fixed"/>
        <w:tblCellMar>
          <w:left w:w="0" w:type="dxa"/>
          <w:right w:w="0" w:type="dxa"/>
        </w:tblCellMar>
        <w:tblLook w:val="0000" w:firstRow="0" w:lastRow="0" w:firstColumn="0" w:lastColumn="0" w:noHBand="0" w:noVBand="0"/>
      </w:tblPr>
      <w:tblGrid>
        <w:gridCol w:w="1639"/>
        <w:gridCol w:w="1230"/>
        <w:gridCol w:w="1103"/>
        <w:gridCol w:w="1230"/>
        <w:gridCol w:w="1135"/>
        <w:gridCol w:w="1230"/>
        <w:gridCol w:w="1103"/>
      </w:tblGrid>
      <w:tr w:rsidR="00D12302">
        <w:trPr>
          <w:cantSplit/>
          <w:trHeight w:val="375"/>
        </w:trPr>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阶段</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净值增长率①</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净值增长率标准差②</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业绩比较基准收益率③</w:t>
            </w:r>
          </w:p>
        </w:tc>
        <w:tc>
          <w:tcPr>
            <w:tcW w:w="3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业绩比较基准收益率标准差④</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①-③</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②-④</w:t>
            </w:r>
          </w:p>
        </w:tc>
      </w:tr>
      <w:tr w:rsidR="00D12302">
        <w:trPr>
          <w:cantSplit/>
          <w:trHeight w:val="375"/>
        </w:trPr>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2017年</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-10.09%</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0.42%</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9.83%</w:t>
            </w:r>
          </w:p>
        </w:tc>
        <w:tc>
          <w:tcPr>
            <w:tcW w:w="3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0.32%</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-19.92%</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0.10%</w:t>
            </w:r>
          </w:p>
        </w:tc>
      </w:tr>
      <w:tr w:rsidR="00D12302">
        <w:trPr>
          <w:cantSplit/>
          <w:trHeight w:val="375"/>
        </w:trPr>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2018年</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-14.56%</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0.77%</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-8.98%</w:t>
            </w:r>
          </w:p>
        </w:tc>
        <w:tc>
          <w:tcPr>
            <w:tcW w:w="3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0.66%</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-5.58%</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0.11%</w:t>
            </w:r>
          </w:p>
        </w:tc>
      </w:tr>
      <w:tr w:rsidR="00D12302">
        <w:trPr>
          <w:cantSplit/>
          <w:trHeight w:val="375"/>
        </w:trPr>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2019年</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47.07%</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0.99%</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19.76%</w:t>
            </w:r>
          </w:p>
        </w:tc>
        <w:tc>
          <w:tcPr>
            <w:tcW w:w="3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0.61%</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27.31%</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0.38%</w:t>
            </w:r>
          </w:p>
        </w:tc>
      </w:tr>
      <w:tr w:rsidR="00D12302">
        <w:trPr>
          <w:cantSplit/>
          <w:trHeight w:val="375"/>
        </w:trPr>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2020年</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75.42%</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1.53%</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15.30%</w:t>
            </w:r>
          </w:p>
        </w:tc>
        <w:tc>
          <w:tcPr>
            <w:tcW w:w="3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0.69%</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60.12%</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0.84%</w:t>
            </w:r>
          </w:p>
        </w:tc>
      </w:tr>
      <w:tr w:rsidR="00D12302">
        <w:trPr>
          <w:cantSplit/>
          <w:trHeight w:val="375"/>
        </w:trPr>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2021年</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26.66%</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0.79%</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0.52%</w:t>
            </w:r>
          </w:p>
        </w:tc>
        <w:tc>
          <w:tcPr>
            <w:tcW w:w="3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0.59%</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26.14%</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0.20%</w:t>
            </w:r>
          </w:p>
        </w:tc>
      </w:tr>
      <w:tr w:rsidR="00D12302">
        <w:trPr>
          <w:cantSplit/>
          <w:trHeight w:val="375"/>
        </w:trPr>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2022年</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-13.29%</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0.96%</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-9.53%</w:t>
            </w:r>
          </w:p>
        </w:tc>
        <w:tc>
          <w:tcPr>
            <w:tcW w:w="3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0.64%</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-3.76%</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0.32%</w:t>
            </w:r>
          </w:p>
        </w:tc>
      </w:tr>
      <w:tr w:rsidR="00D12302">
        <w:trPr>
          <w:cantSplit/>
          <w:trHeight w:val="375"/>
        </w:trPr>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2023年</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-4.13%</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0.73%</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-3.47%</w:t>
            </w:r>
          </w:p>
        </w:tc>
        <w:tc>
          <w:tcPr>
            <w:tcW w:w="3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0.42%</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-0.66%</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0.31%</w:t>
            </w:r>
          </w:p>
        </w:tc>
      </w:tr>
      <w:tr w:rsidR="00D12302">
        <w:trPr>
          <w:cantSplit/>
          <w:trHeight w:val="375"/>
        </w:trPr>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2024年</w:t>
            </w:r>
          </w:p>
        </w:tc>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5.74%</w:t>
            </w:r>
          </w:p>
        </w:tc>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1.41%</w:t>
            </w:r>
          </w:p>
        </w:tc>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12.10%</w:t>
            </w:r>
          </w:p>
        </w:tc>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0.65%</w:t>
            </w:r>
          </w:p>
        </w:tc>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-6.36%</w:t>
            </w:r>
          </w:p>
        </w:tc>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0.76%</w:t>
            </w:r>
          </w:p>
        </w:tc>
      </w:tr>
      <w:tr w:rsidR="00D12302">
        <w:trPr>
          <w:cantSplit/>
          <w:trHeight w:val="375"/>
        </w:trPr>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2025年1月1日至2025年6月30日</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-0.50%</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0.74%</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0.56%</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0.49%</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-1.06%</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0.25%</w:t>
            </w:r>
          </w:p>
        </w:tc>
      </w:tr>
      <w:tr w:rsidR="00D12302">
        <w:trPr>
          <w:cantSplit/>
          <w:trHeight w:val="375"/>
        </w:trPr>
        <w:tc>
          <w:tcPr>
            <w:tcW w:w="52"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2016年10月14日（基金合同生效日）至2025年6月30日</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119.80%</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0.99%</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35.28%</w:t>
            </w:r>
          </w:p>
        </w:tc>
        <w:tc>
          <w:tcPr>
            <w:tcW w:w="36"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0.58%</w:t>
            </w:r>
          </w:p>
        </w:tc>
        <w:tc>
          <w:tcPr>
            <w:tcW w:w="39"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84.52%</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0.41%</w:t>
            </w:r>
          </w:p>
        </w:tc>
      </w:tr>
    </w:tbl>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本基金C类基金份额净值增长率与业绩比较基准收益率比较表：</w:t>
      </w:r>
    </w:p>
    <w:tbl>
      <w:tblPr>
        <w:tblW w:w="5000" w:type="pct"/>
        <w:tblLayout w:type="fixed"/>
        <w:tblCellMar>
          <w:left w:w="0" w:type="dxa"/>
          <w:right w:w="0" w:type="dxa"/>
        </w:tblCellMar>
        <w:tblLook w:val="0000" w:firstRow="0" w:lastRow="0" w:firstColumn="0" w:lastColumn="0" w:noHBand="0" w:noVBand="0"/>
      </w:tblPr>
      <w:tblGrid>
        <w:gridCol w:w="2208"/>
        <w:gridCol w:w="1103"/>
        <w:gridCol w:w="1040"/>
        <w:gridCol w:w="1072"/>
        <w:gridCol w:w="1103"/>
        <w:gridCol w:w="1072"/>
        <w:gridCol w:w="1072"/>
      </w:tblGrid>
      <w:tr w:rsidR="00D12302">
        <w:trPr>
          <w:cantSplit/>
          <w:trHeight w:val="375"/>
        </w:trPr>
        <w:tc>
          <w:tcPr>
            <w:tcW w:w="7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阶段</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净值增长率①</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净值增长率标准差②</w:t>
            </w:r>
          </w:p>
        </w:tc>
        <w:tc>
          <w:tcPr>
            <w:tcW w:w="3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业绩比较基准收益率③</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业绩比较基准收益率标准差④</w:t>
            </w:r>
          </w:p>
        </w:tc>
        <w:tc>
          <w:tcPr>
            <w:tcW w:w="3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①-③</w:t>
            </w:r>
          </w:p>
        </w:tc>
        <w:tc>
          <w:tcPr>
            <w:tcW w:w="3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②-④</w:t>
            </w:r>
          </w:p>
        </w:tc>
      </w:tr>
      <w:tr w:rsidR="00D12302">
        <w:trPr>
          <w:cantSplit/>
          <w:trHeight w:val="375"/>
        </w:trPr>
        <w:tc>
          <w:tcPr>
            <w:tcW w:w="7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2022年</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-13.65%</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0.96%</w:t>
            </w:r>
          </w:p>
        </w:tc>
        <w:tc>
          <w:tcPr>
            <w:tcW w:w="3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-9.53%</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0.64%</w:t>
            </w:r>
          </w:p>
        </w:tc>
        <w:tc>
          <w:tcPr>
            <w:tcW w:w="3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-4.12%</w:t>
            </w:r>
          </w:p>
        </w:tc>
        <w:tc>
          <w:tcPr>
            <w:tcW w:w="3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0.32%</w:t>
            </w:r>
          </w:p>
        </w:tc>
      </w:tr>
      <w:tr w:rsidR="00D12302">
        <w:trPr>
          <w:cantSplit/>
          <w:trHeight w:val="375"/>
        </w:trPr>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2023年</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-4.52%</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0.73%</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-3.47%</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0.42%</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-1.05%</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center"/>
              <w:rPr>
                <w:rFonts w:ascii="宋体" w:hAnsi="宋体"/>
                <w:color w:val="000000"/>
                <w:kern w:val="0"/>
                <w:sz w:val="25"/>
                <w:szCs w:val="24"/>
              </w:rPr>
            </w:pPr>
            <w:r>
              <w:rPr>
                <w:rFonts w:ascii="宋体" w:hAnsi="宋体"/>
                <w:color w:val="000000"/>
                <w:kern w:val="0"/>
                <w:sz w:val="25"/>
                <w:szCs w:val="24"/>
              </w:rPr>
              <w:t>0.31%</w:t>
            </w:r>
          </w:p>
        </w:tc>
      </w:tr>
      <w:tr w:rsidR="00D12302">
        <w:trPr>
          <w:cantSplit/>
          <w:trHeight w:val="375"/>
        </w:trPr>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2024年</w:t>
            </w:r>
          </w:p>
        </w:tc>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5.36%</w:t>
            </w:r>
          </w:p>
        </w:tc>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1.42%</w:t>
            </w:r>
          </w:p>
        </w:tc>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12.10%</w:t>
            </w:r>
          </w:p>
        </w:tc>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0.65%</w:t>
            </w:r>
          </w:p>
        </w:tc>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-6.74%</w:t>
            </w:r>
          </w:p>
        </w:tc>
        <w:tc>
          <w:tcPr>
            <w:tcW w:w="7" w:type="dxa"/>
            <w:vMerge w:val="restart"/>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0.77%</w:t>
            </w:r>
          </w:p>
        </w:tc>
      </w:tr>
      <w:tr w:rsidR="00D12302">
        <w:trPr>
          <w:cantSplit/>
          <w:trHeight w:val="375"/>
        </w:trPr>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2025年1月1日至2025年6月30日</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-0.73%</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0.75%</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0.56%</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0.49%</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-1.29%</w:t>
            </w:r>
          </w:p>
        </w:tc>
        <w:tc>
          <w:tcPr>
            <w:tcW w:w="7"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0.26%</w:t>
            </w:r>
          </w:p>
        </w:tc>
      </w:tr>
      <w:tr w:rsidR="00D12302">
        <w:trPr>
          <w:cantSplit/>
          <w:trHeight w:val="375"/>
        </w:trPr>
        <w:tc>
          <w:tcPr>
            <w:tcW w:w="70"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2021年11月26日（C类基金份额增设日）至2025年6月30日</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-11.70%</w:t>
            </w:r>
          </w:p>
        </w:tc>
        <w:tc>
          <w:tcPr>
            <w:tcW w:w="33"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1.02%</w:t>
            </w:r>
          </w:p>
        </w:tc>
        <w:tc>
          <w:tcPr>
            <w:tcW w:w="3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-0.68%</w:t>
            </w:r>
          </w:p>
        </w:tc>
        <w:tc>
          <w:tcPr>
            <w:tcW w:w="35"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0.56%</w:t>
            </w:r>
          </w:p>
        </w:tc>
        <w:tc>
          <w:tcPr>
            <w:tcW w:w="3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-11.02%</w:t>
            </w:r>
          </w:p>
        </w:tc>
        <w:tc>
          <w:tcPr>
            <w:tcW w:w="34" w:type="dxa"/>
            <w:tcBorders>
              <w:top w:val="single" w:sz="4" w:space="0" w:color="auto"/>
              <w:left w:val="single" w:sz="4" w:space="0" w:color="auto"/>
              <w:bottom w:val="single" w:sz="4" w:space="0" w:color="auto"/>
              <w:right w:val="single" w:sz="4" w:space="0" w:color="auto"/>
            </w:tcBorders>
            <w:vAlign w:val="center"/>
          </w:tcPr>
          <w:p w:rsidR="00D12302" w:rsidRDefault="000C128D">
            <w:pPr>
              <w:widowControl/>
              <w:snapToGrid w:val="0"/>
              <w:jc w:val="left"/>
              <w:rPr>
                <w:rFonts w:ascii="宋体" w:hAnsi="宋体"/>
                <w:color w:val="000000"/>
                <w:kern w:val="0"/>
                <w:sz w:val="25"/>
                <w:szCs w:val="24"/>
              </w:rPr>
            </w:pPr>
            <w:r>
              <w:rPr>
                <w:rFonts w:ascii="宋体" w:hAnsi="宋体"/>
                <w:color w:val="000000"/>
                <w:kern w:val="0"/>
                <w:sz w:val="25"/>
                <w:szCs w:val="24"/>
              </w:rPr>
              <w:t>0.46%</w:t>
            </w:r>
          </w:p>
        </w:tc>
      </w:tr>
    </w:tbl>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15" w:name="_Toc218779113"/>
      <w:r>
        <w:rPr>
          <w:rFonts w:ascii="宋体" w:hAnsi="宋体"/>
          <w:sz w:val="30"/>
        </w:rPr>
        <w:t>十二、基金的财产</w:t>
      </w:r>
      <w:bookmarkEnd w:id="15"/>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（一）基金资产总值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基金资产总值是指基金拥有的各类有价证券、股指期货合约、银行存款本息和基金应收的款项以及其他资产价值总和。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（二）基金资产净值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（三）基金财产的账户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以及投资所需的其他专用账户。开立的基金专用账户与基金管理人、基金托管人、其他基金销售机构和基金登记机构自有的财产账户以及其他基金财产账户相独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（四）基金财产的保管和处分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其他基金销售机构的财产，并由基金托管人保管。基金管理人、基金托管人、基金登记机构和其他基金销售机构以其自有的财产承担其自身的法律责任，其债权人不得对本基金财产行使请求冻结、扣押或其他权利。除依法律法规和基金合同的规定处分外，基金财产不得被处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16" w:name="_Toc218779114"/>
      <w:r>
        <w:rPr>
          <w:rFonts w:ascii="宋体" w:hAnsi="宋体"/>
          <w:sz w:val="30"/>
        </w:rPr>
        <w:t>十三、基金资产估值</w:t>
      </w:r>
      <w:bookmarkEnd w:id="16"/>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(一)估值目的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基金资产的估值目的是客观、准确地反映基金相关金融资产的公允价值，并为基金份额提供计价依据。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(二)估值日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本基金的估值日为本基金相关的证券/期货交易场所的交易日以及国家法律法规规定需要对外披露基金净值的非交易日。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(三)估值方法</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上市实行净价交易的债券按第三方估值机构提供的相应品种当日的估值净价估值，估值日没有交易的，且最近交易日后经济环境未发生重大变化，按第三方估值机构提供的相应品种当日的估值净价估值。如最近交易日后经济环境发生了重大变化的，可参考类似投资品种的现行市价及重大变化因素，调整最近交易市价，确定公允价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交易所上市未实行净价交易的债券按估值日收盘价或第三方估值机构提供的相应品种当日的估值全价减去债券收盘价或估值全价中所含的债券应收利息得到的净价进行估值；估值日没有交易的，且最近交易日后经济环境未发生重大变化，按最近交易日债券收盘价或第三方估值机构提供的相应品种当日的估值全价减去债券收盘价或估值全价中所含的债券应收利息得到的净价进行估值。如最近交易日后经济环境发生了重大变化的，可参考类似投资品种的现行市价及重大变化因素，调整最近交易市价，确定公允价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（4）交易所上市不存在活跃市场的有价证券，采用估值技术确定公允价值。交易所上市的资产支持证券，采用估值技术确定公允价值，在估值技术难以可靠计量公允价值的情况下，按成本估值；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（5）本基金投资存托凭证的估值核算，依照境内上市交易的股票执行。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2、处于未上市期间的有价证券应区分如下情况处理：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（1）送股、转增股、配股和公开增发的股票，按估值日在证券交易所挂牌的同一股票的估值方法估值；该日无交易的，以最近一日的市价（收盘价）估值；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（2）首次公开发行未上市的股票、债券和权证，采用估值技术确定公允价值，在估值技术难以可靠计量公允价值的情况下，按成本估值；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（3）首次公开发行有明确锁定期的股票，同一股票在交易所上市后，按交易所上市的同一股票的估值方法估值；非公开发行有明确锁定期的股票，按监管机构或行业协会有关规定确定公允价值。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3、全国银行间债券市场交易的债券、资产支持证券等固定收益品种，以第三方估值机构提供的价格数据估值。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4、同一债券同时在两个或两个以上市场交易的，按债券所处的市场分别估值。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5、本基金持有的回购以成本列示，按合同利率在回购期间内逐日计提应收或应付利息。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6、本基金持有的银行存款和备付金余额以本金列示，按相应利率逐日计提利息。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7、本基金投资同业存单，按估值日第三方估值机构提供的估值净价估值；选定的第三方估值机构未提供估值价格的，按成本估值。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8、本基金投资股指期货合约，按估值当日结算价进行估值，估值当日无结算价的，且最近交易日后经济环境未发生重大变化的，采用最近交易日结算价估值。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9、如有确凿证据表明按上述方法进行估值不能客观反映其公允价值的，基金管理人可根据具体情况与基金托管人商定后，按最能反映公允价值的价格估值。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10、相关法律法规以及监管部门有强制规定的，从其规定。如有新增事项，按国家最新规定估值。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各类基金份额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信息的计算结果对外予以公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(四)估值对象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基金所拥有的股票、股指期货合约、权证、债券和银行存款本息、应收款项、其它投资等资产及负债。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(五)估值程序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和C类基金份额的基金份额净值是按照每个估值日闭市后，A类基金份额和C类基金份额的基金资产净值分别除以当日该类基金份额的余额数量计算，精确到0.001元，小数点后第4位四舍五入。国家另有规定的，从其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基金管理人每个估值日计算A类基金份额和C类基金份额的基金资产净值及基金份额净值，经基金托管人复核，并按规定公告。如遇特殊情况，经中国证监会同意，可以适当延迟计算或公告。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每个估值日对基金资产估值。但基金管理人根据法律法规或基金合同的规定暂停估值时除外。基金管理人每个估值日对基金资产估值后，将拟公告的各类基金份额净值结果发送基金托管人，经基金托管人复核无误后，由基金管理人按约定对外公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(六)估值错误的处理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基金管理人和基金托管人将采取必要、适当、合理的措施确保基金资产估值的准确性、及时性。当任一类别基金份额净值小数点后3位以内(含第3位)发生估值错误时，视为该类基金份额净值错误。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1、估值错误类型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其他销售机构、或投资人自身的过错造成估值错误，导致其他当事人遭受损失的，过错的责任人应当对由于该估值错误遭受损失当事人(“受损方”)的直接损失按下述“估值错误处理原则”给予赔偿，承担赔偿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2、估值错误处理原则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（4）估值错误调整采用尽量恢复至假设未发生估值错误的正确情形的方式。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3、估值错误处理程序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（1）查明估值错误发生的原因，列明所有的当事人，并根据估值错误发生的原因确定估值错误的责任方；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（2）根据估值错误处理原则或当事人协商的方法对因估值错误造成的损失进行评估；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（3）根据估值错误处理原则或当事人协商的方法由估值错误的责任方进行更正和赔偿损失；</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4、基金份额净值估值错误处理的方法如下：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（2）错误偏差达到该类基金份额净值的0.25%时，基金管理人应当通报基金托管人并报中国证监会备案；错误偏差达到该类基金份额净值的0.5%时，基金管理人应当公告，并报中国证监会备案。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（3）前述内容如法律法规或监管机关另有规定的，从其规定处理。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基金托管人发现基金份额净值计价出现重大错误或者估值出现重大偏离的，应当提示基金管理人依法履行披露和报告义务。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(七)暂停估值的情形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1、基金投资所涉及的证券/期货交易市场遇法定节假日或因其他原因暂停营业时；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3、占基金相当比例的投资品种的估值出现重大转变，而基金管理人为保障投资人的利益，决定延迟估值；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4、当特定资产占前一估值日基金资产净值50%以上的，经与基金托管人协商确认后，基金管理人应当暂停估值；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5、中国证监会和基金合同认定的其它情形。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(八)基金资产净值、基金份额净值的确认</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按规定对基金净值予以公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(九)特殊情况的处理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1、基金管理人或基金托管人按估值方法的第9项进行估值时，所造成的误差不作为基金资产估值错误处理。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证券/期货交易所、登记结算公司、证券/期货经纪机构发送的数据错误及第三方估值机构提供的估值数据错误，有关会计制度变化或由于其他不可抗力原因等，基金管理人和基金托管人虽然已经采取必要、适当、合理的措施进行检查，但未能发现该错误的，由此造成的基金资产估值错误，基金管理人和基金托管人免除赔偿责任，但基金管理人、基金托管人应当积极采取必要的措施消除或减轻由此造成的影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（十）实施侧袋机制期间的基金资产估值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本基金实施侧袋机制的，应根据本部分的约定对主袋账户资产进行估值并披露主袋账户的基金净值信息，暂停披露侧袋账户份额净值。</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17" w:name="_Toc218779115"/>
      <w:r>
        <w:rPr>
          <w:rFonts w:ascii="宋体" w:hAnsi="宋体"/>
          <w:sz w:val="30"/>
        </w:rPr>
        <w:t>十四、基金的收益与分配</w:t>
      </w:r>
      <w:bookmarkEnd w:id="17"/>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（一）基金利润的构成</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（二）基金可供分配利润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（三）基金收益分配原则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在符合有关基金分红条件的前提下，在基金合同生效后前二年内（含第二年），具体分红方案见基金管理人根据基金运作情况届时不定期发布的相关分红公告，若基金合同生效不满3个月则不进行收益分配；在本基金按照基金合同约定自动转型为上市开放式基金（LOF）后，具体分红方案见基金管理人根据基金运作情况届时不定期发布的相关分红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生效后二年内（含第二年），本基金的收益分配方式为现金分红；本基金按照基金合同约定自动转型为上市开放式基金（LOF）后，登记在登记结算系统的基金份额，收益分配方式为现金分红或红利再投资（若投资人不选择，本基金默认的收益分配方式是现金分红），红利再投方式免收再投资的费用；登记在证券登记系统的基金份额收益分配方式为现金分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3、基金收益分配后各类基金份额净值不能低于面值，即基金收益分配基准日的任一类别基金份额净值减去每单位该类基金份额收益分配金额后不能低于面值；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4、由于本基金A类基金份额不收取销售服务费，而C类基金份额收取销售服务费，各基金份额类别对应的可供分配利润将有所不同。本基金同一类别的每一基金份额享有同等分配权；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5、法律法规或监管机关另有规定的，从其规定。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不违反法律法规且对基金份额持有人利益无实质不利影响的前提下，基金管理人可在法律法规允许的前提下酌情调整以上基金收益分配原则，并于变更实施日前在规定媒介上公告，且不需召开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（四）收益分配方案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基金各类基金份额的收益分配方案中应载明截至收益分配基准日的可供分配利润、基金收益分配对象、分配时间、分配数额及比例、分配方式等内容。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（五）收益分配方案的确定、公告与实施</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本基金收益分配方案由基金管理人拟定，并由基金托管人复核，依照《信息披露办法》的有关规定在规定媒介公告。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基金红利发放日距离收益分配基准日（即可供分配利润计算截止日）的时间不得超过15个工作日。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（六）基金收益分配中发生的费用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时所发生的银行转账或其他手续费用由基金份额持有人自行承担。当基金份额持有人的现金红利小于一定金额，不足以支付银行转账或其他手续费用时，基金登记机构可将该基金份额持有人的现金红利转为相应类别的基金份额。红利再投资的计算方法，依照登记机构相关业务规则执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场内基金份额收益分配时发生的费用，遵循上海证券交易所和登记机构的相关规定。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（七）实施侧袋机制期间的收益分配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本基金实施侧袋机制的，侧袋账户不进行收益分配，详见本招募说明书“侧袋机制”部分的规定。</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18" w:name="_Toc218779116"/>
      <w:r>
        <w:rPr>
          <w:rFonts w:ascii="宋体" w:hAnsi="宋体"/>
          <w:sz w:val="30"/>
        </w:rPr>
        <w:t>十五、基金的费用与税收</w:t>
      </w:r>
      <w:bookmarkEnd w:id="18"/>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(一)基金费用的种类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3、从C类基金份额的基金财产中计提的销售服务费；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4、基金合同生效后与基金相关的会计师费、审计费、律师费、诉讼费和仲裁费等法律费用；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6、基金的证券/期货交易费用；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7、基金的银行汇划费用；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8、基金的开户费用、账户维护费用；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9、基金合同生效后与基金相关的信息披露费用；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10、基金的上市初费和月费；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11、按照国家有关规定和基金合同约定，可以在基金财产中列支的其他费用。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本基金终止清算时所发生费用，按实际支出额从基金财产总值中扣除。</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(二)基金费用计提方法、计提标准和支付方式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（1）本基金在基金合同生效后二年内（含第二年）的管理费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本基金在基金合同生效后二年内（含第二年）的管理费按前一日基金资产净值的2.00%年费率计提。管理费的计算方法如下：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H＝E×2.00%÷当年天数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（2）基金合同生效后第二个年度对日起，本基金按照基金合同约定自动转型为上市开放式基金（LOF）后的管理费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本基金基金合同生效后第二个年度对日起，本基金按照基金合同约定自动转型为上市开放式基金（LOF）后的管理费按前一日基金资产净值的1.20%年费率计提。管理费的计算方法如下：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H＝E×1.20%÷当年天数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提，逐日累计至每个月月末，按月支付。经基金管理人与基金托管人核对一致后，由基金托管人于次月首日起2-5个工作日内从基金财产中一次性支付给基金管理人。若遇法定节假日、休息日或不可抗力致使无法按时支付的，顺延至最近可支付日支付。在首期支付基金管理费前，基金管理人应向托管人出具正式函件指定基金管理费的收款账户。基金管理人如需要变更此账户，应提前10个工作日向托管人出具书面的收款账户变更通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本基金的托管费按前一日基金资产净值的0.20%的年费率计提。托管费的计算方法如下：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H＝E×0.20%÷当年天数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H为每日应计提的基金托管费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提，逐日累计至每个月月末，按月支付。经基金管理人与基金托管人核对一致后，由基金托管人于次月首日起2-5个工作日内从基金财产中一次性支付给基金托管人。若遇法定节假日、休息日或不可抗力致使无法按时支付的，顺延至最近可支付日支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3、本基金A类基金份额不收取销售服务费，C类基金份额的销售服务费按前一日C类基金份额资产净值的0.40%年费率计提。计算方法如下：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H＝E×0.40%÷当年天数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H为C类基金份额每日应计提的销售服务费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E为C类基金份额前一日基金资产净值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销售服务费每日计提，逐日累计至每月月末，按月支付。由基金管理人向基金托管人发送销售服务费划付指令，经基金托管人复核后于次月首日起2-5个工作日内从基金财产中一次性支付给基金管理人，基金管理人代收后再分别支付给各个销售机构。若遇法定节假日、休息日或不可抗力致使无法按时支付的，顺延至法定节假日、休息日结束之日起2个工作日内或不可抗力情形消除之日起2个工作日内支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上述“（一）基金费用的种类”中第4－11项费用，根据有关法规及相应协议规定，按费用实际支出金额列入当期费用，由基金托管人从基金财产中支付。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(三)不列入基金费用的项目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下列费用不列入基金费用：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1、基金管理人和基金托管人因未履行或未完全履行义务导致的费用支出或基金财产的损失；</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2、基金管理人和基金托管人处理与基金运作无关的事项发生的费用；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3、基金合同生效前的相关费用；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4、其他根据相关法律法规及中国证监会的有关规定不得列入基金费用的项目。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（四）实施侧袋机制期间的基金费用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本基金实施侧袋机制的，与侧袋账户有关的费用可以从侧袋账户中列支，但应待侧袋账户资产变现后方可列支，有关费用可酌情收取或减免，但不得收取基金管理费，详见本招募说明书“侧袋机制”部分的规定。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（五）基金管理费和基金托管费的调整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基金管理人和基金托管人可根据基金发展情况调整基金管理费率和基金托管费率，此项调整需要基金份额持有人大会决议通过。基金管理人必须依照有关规定于新的费率实施日前在规定媒介上刊登公告。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(六)基金税收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19" w:name="_Toc218779117"/>
      <w:r>
        <w:rPr>
          <w:rFonts w:ascii="宋体" w:hAnsi="宋体"/>
          <w:sz w:val="30"/>
        </w:rPr>
        <w:t>十六、基金的会计和审计</w:t>
      </w:r>
      <w:bookmarkEnd w:id="19"/>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（一）基金会计政策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1、基金管理人为本基金的基金会计责任方；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2、基金的会计年度为公历年度的1月1日至12月31日；基金首次募集的会计年度按如下原则：如果《基金合同》生效少于2个月，可以并入下一个会计年度披露；</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3、基金核算以人民币为记账本位币，以人民币元为记账单位；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4、会计制度执行国家有关会计制度；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7、基金托管人每月与基金管理人就基金的会计核算、报表编制等进行核对并以书面方式确认。</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法律法规或监管部门对基金会计政策另有规定的，从其规定。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（二）基金的年度审计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1、基金管理人聘请与基金管理人、基金托管人相互独立的符合《中华人民共和国证券法》规定的会计师事务所及其注册会计师对本基金的年度财务报表进行审计。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2、会计师事务所更换经办注册会计师，应事先征得基金管理人同意。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3、基金管理人认为有充足理由更换会计师事务所，须通报基金托管人。更换会计师事务所需按照《信息披露办法》的有关规定在规定媒介公告。</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20" w:name="_Toc218779118"/>
      <w:r>
        <w:rPr>
          <w:rFonts w:ascii="宋体" w:hAnsi="宋体"/>
          <w:sz w:val="30"/>
        </w:rPr>
        <w:t>十七、基金的自动转型</w:t>
      </w:r>
      <w:bookmarkEnd w:id="20"/>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（一）基金合同生效满二年后基金的存续形式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基金合同生效后第二个年度对日，如满足基金合同约定的存续条件，本基金将按照基金合同约定自动转型为上市开放式基金（LOF），更名为银华鑫盛灵活配置混合型证券投资基金（LOF），并且无需召开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本基金在基金合同生效后第二个年度对日起，按照基金合同约定，将银华鑫盛定增灵活配置混合型证券投资基金基金份额等额转为银华鑫盛灵活配置混合型证券投资基金（LOF）的基金份额。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按照基金合同约定自动转型为上市开放式基金（LOF）份额时，基金份额仍在上海证券交易所上市交易，同时开放申购、赎回。本基金在按照基金合同约定自动转型为上市开放式基金（LOF）前后可根据情况暂停上市交易，恢复时间以本基金管理人公告为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（二）基金合同生效满二年后的转型规则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投资人认购或通过二级市场购买并持有的每一份基金份额，本基金在基金合同生效后第二个年度对日，按照份额数量相等原则转为银华鑫盛灵活配置混合型证券投资基金（LOF）份额；无需支付转换基金份额的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本基金按照基金合同约定自动转型为上市开放式基金（LOF）时，基金总份额数保持不变。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（三）基金合同生效满二年后基金的投资管理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基金合同生效后第二个年度对日起，本基金继续存续并自动转型为银华鑫盛灵活配置混合型证券投资基金（LOF）后，本基金的投资管理程序、投资策略、投资理念、投资范围、投资限制会相应发生变化，具体变化参见基金合同的投资章节；根据基金合同的约定，相关变化符合混合型开放式基金的法律法规的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（四）基金合同生效满二年后的公告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1、本基金在基金合同生效后第二个年度对日起，在符合本基金存续条件下，本基金将继续存续。基金管理人应依照相关法律法规的规定就本基金继续存续的相关事宜进行公告。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在基金合同生效后第二个年度对日起，本基金将按照基金合同约定自动转型为上市开放式基金（LOF），基金管理人将在临时公告或在更新的招募说明书中公告相关规则。基金管理人有权根据基金自动转型需求与交易所相关规定暂停交易或上市。基金管理人可以修改相关规则，并将在临时公告或更新的招募说明书中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3、本基金在基金合同生效后第二个年度对日前三十个工作日，基金管理人将发布提示性公告。</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21" w:name="_Toc218779119"/>
      <w:r>
        <w:rPr>
          <w:rFonts w:ascii="宋体" w:hAnsi="宋体"/>
          <w:sz w:val="30"/>
        </w:rPr>
        <w:t>十八、基金的信息披露</w:t>
      </w:r>
      <w:bookmarkEnd w:id="21"/>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本基金的信息披露应符合《基金法》、《运作办法》、《信息披露办法》、基金合同及其他有关规定。相关法律法规关于信息披露的披露方式、登载媒介、报备方式等规定发生变化时，本基金从其最新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（二）信息披露义务人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本基金信息披露义务人包括基金管理人、基金托管人、召集基金份额持有人大会的基金份额持有人等法律、行政法规和中国证监会规定的自然人、法人和非法人组织。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人能够按照基金合同约定的时间和方式查阅或者复制公开披露的信息资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（三）本基金信息披露义务人承诺公开披露的基金信息，不得有下列行为：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6、法律、行政法规和中国证监会规定禁止的其他行为。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（四）本基金公开披露的信息应采用中文文本。同时采用外文文本的，基金信息披露义务人应保证不同文本的内容一致。不同文本之间发生歧义的，以中文文本为准。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（五）公开披露的基金信息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1、基金招募说明书、基金合同、基金托管协议、基金产品资料概要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（1）基金合同是界定基金合同当事人的各项权利、义务关系，明确基金份额持有人大会召开的规则及具体程序，说明基金产品的特性等涉及基金投资人重大利益的事项的法律文件。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基金募集申请经中国证监会注册后，基金管理人在基金份额发售的3日前，将基金招募说明书、基金合同摘要登载在规定媒介上；基金管理人、基金托管人应当将基金合同、基金托管协议登载在各自网站上。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2、基金份额发售公告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基金管理人应当就基金份额发售的具体事宜编制基金份额发售公告，并在披露招募说明书的当日登载于规定媒介上。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基金管理人应当在收到中国证监会确认文件的次日在规定媒介上登载基金合同生效公告。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4、上市交易公告书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基金份额获准在上海证券交易所上市交易的，基金管理人应当在基金份额上市交易3个工作日前，将上市交易公告书登载在规定媒介上。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5、基金净值信息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（1）基金合同生效的前二年内（含第二年），在基金份额上市交易前，基金管理人应当至少每周公告一次基金份额净值和基金份额累计净值。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基金份额上市交易后，基金管理人应当在每个交易日的次日，通过其网站、基金份额销售网点以及其他媒介，披露交易日的基金份额净值和基金份额累计净值。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基金管理人应当在不晚于半年度和年度最后一日的次日，在规定网站披露半年度和年度最后一日的基金份额净值和基金份额累计净值。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（2）在本基金按照基金合同约定自动转型为上市开放式基金（LOF）后，在开始办理申购或赎回前，基金管理人应当至少每周公告一次基金份额净值和基金份额累计净值。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在开始办理基金份额申购或者赎回后，基金管理人应当在不晚于每个开放日的次日，通过规定网站、基金销售机构网站或者营业网点披露开放日的各类基金份额净值和各类基金份额累计净值。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基金管理人应当在不晚于半年度和年度最后一日的次日，在规定网站披露半年度和年度最后一日的各类基金份额净值和各类基金份额累计净值。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6、基金份额申购、赎回价格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基金管理人应当在基金合同、招募说明书等信息披露文件上载明基金份额申购、赎回价格的计算方式及有关申购、赎回费率，并保证投资人能够在基金销售机构网站或营业网点查阅或者复制前述信息资料。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7、基金定期报告，包括基金年度报告、基金中期报告和基金季度报告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基金管理人应当在上半年结束之日起两个月内，编制完成基金中期报告，将中期报告登载在规定网站上，并将中期报告提示性公告登载在规定报刊上。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基金管理人应当在季度结束之日起15个工作日内，编制完成基金季度报告，将季度报告登载在规定网站上，并将季度报告提示性公告登载在规定报刊上。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基金合同生效不足2个月的，基金管理人可以不编制当期季度报告、中期报告或者年度报告。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出现单一投资人持有基金份额比例达到或超过基金总份额20%的情形，为保障其他投资者利益，基金管理人应当在季度报告、中期报告、年度报告等定期报告文件中“影响投资者决策的其他重要信息”项下披露该投资人的类别、报告期末持有份额及占比、报告期内持有份额变化情况及本基金的特有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本基金持续运作过程中，应当在基金年度报告和中期报告中披露基金组合资产情况及其流动性风险分析等。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8、临时报告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本基金发生重大事件，有关信息披露义务人应当按照《信息披露办法》的有关规定编制临时报告书，并登载在规定报刊和规定网站上。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前款所称重大事件，是指可能对基金份额持有人权益或者基金份额的价格产生重大影响的下列事件：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（1）基金份额持有人大会的召开及决定的事项；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（2）基金合同终止、基金清算；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（15）管理费、托管费、销售服务费、申购费、赎回费等费用计提标准、计提方式和费率发生变更；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（16）任一类别基金份额净值计价错误达该类基金份额净值百分之零点五；</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（17）本基金按照基金合同约定自动转型为上市开放式基金（LOF）后，开始办理申购、赎回；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（18）本基金发生巨额赎回并延期办理；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（20）本基金暂停接受申购、赎回申请或重新接受申购、赎回申请；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（22）本基金停复牌、暂停上市、恢复上市或终止上市；</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（23）基金推出新业务或服务；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（24）发生涉及基金申购、赎回事项调整或潜在影响投资者赎回等重大事项时；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（25）基金信息披露义务人认为可能对基金份额持有人权益或者基金份额的价格产生重大影响的其他事项或中国证监会规定或基金合同约定的其他事项。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9、澄清公告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10、基金份额持有人大会决议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11、清算报告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12、基金投资股指期货相关信息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股指期货的，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13、投资资产支持证券的信息披露</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本基金投资资产支持证券的，基金管理人应在年度报告及中期报告中披露其持有的资产支持证券总额、资产支持证券市值占基金净资产的比例和报告期内所有的资产支持证券明细。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基金管理人应在基金季度报告中披露其持有的资产支持证券总额、资产支持证券市值占基金净资产的比例和报告期末按市值占基金净资产比例大小排序的前10名资产支持证券明细。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14、实施侧袋机制期间的信息披露</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本基金实施侧袋机制的，相关信息披露义务人应当根据法律法规、基金合同和招募说明书的规定进行信息披露，详见本招募说明书“侧袋机制”部分的规定。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15、中国证监会规定的其他信息。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基金管理人应在基金投资非公开发行股票后两个交易日内，在规定媒介披露所投资非公开发行股票的名称、数量、总成本、账面价值，以及总成本和账面价值占基金资产净值的比例、锁定期等信息。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（六）信息披露事务管理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基金信息披露义务人公开披露基金信息，应当符合中国证监会相关基金信息披露内容与格式准则等法律法规规定。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规定媒介上披露信息外，还可以根据需要在其他公共媒介披露信息，但是其他公共媒介不得早于规定媒介、基金上市交易的证券交易所网站披露信息，并且在不同媒介上披露同一信息的内容应当一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（七）信息披露文件的存放与查阅</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依法必须披露的信息发布后，基金管理人、基金托管人应当按照相关法律法规规定将信息置备于各自住所、基金上市交易的证券交易所，供社会公众查阅、复制。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（八）暂停或延迟信息披露的情形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当出现下述情况时，基金管理人和基金托管人可暂停或延迟披露基金信息：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1、基金投资所涉及的证券、期货交易所遇法定节假日或因其他原因暂停营业时；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2、发生暂停估值的情形；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3、不可抗力；</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4、法律法规规定、中国证监会或基金合同认定的其他情形。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（九）本基金信息披露事项以法律法规规定及本章节约定的内容为准。</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22" w:name="_Toc218779120"/>
      <w:r>
        <w:rPr>
          <w:rFonts w:ascii="宋体" w:hAnsi="宋体"/>
          <w:sz w:val="30"/>
        </w:rPr>
        <w:t>十九、侧袋机制</w:t>
      </w:r>
      <w:bookmarkEnd w:id="22"/>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（一）侧袋机制的实施条件、实施程序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基金管理人应当在启用侧袋机制后及时发布临时公告，并及时聘请符合《中华人民共和国证券法》规定的会计师事务所进行审计并披露专项审计意见。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（二）侧袋机制实施期间的基金运作安排</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1、基金份额的交易、申购与赎回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侧袋机制实施期间，本基金场外份额的申购与赎回、场内份额的交易、申购与赎回遵照上海证券交易所和中国证券登记结算有限责任公司的相关规则执行，具体安排请见基金管理人届时发布的相关公告。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2、实施侧袋机制期间的基金投资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本招募说明书“基金的投资”部分约定的投资组合比例、投资策略、组合限制、业绩比较基准、风险收益特征等约定仅适用于主袋账户。基金管理人计算各项投资运作指标和基金业绩指标时仅需考虑主袋账户资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基金管理人原则上应当在侧袋机制启用后20个交易日内完成对主袋账户投资组合的调整，因资产流动性受限等中国证监会规定的情形除外。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基金管理人不得在侧袋账户中进行除特定资产处置变现以外的其他投资操作。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3、实施侧袋账户期间的基金费用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（1）侧袋机制实施期间，侧袋账户资产不收取基金管理费。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（2）与侧袋账户有关的费用可从侧袋账户中列支，但应待侧袋账户资产变现后方可列支，有关费用可酌情收取或减免。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4、基金的收益分配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侧袋机制实施期间，在主袋账户份额满足基金合同收益分配条件的情形下，基金管理人可对主袋账户份额进行收益分配。侧袋账户不进行收益分配。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5、侧袋机制的信息披露</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（1）基金净值信息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基金管理人应按照本招募说明书“基金的信息披露”部分规定的基金净值信息披露方式和频率披露主袋账户的基金净值信息。实施侧袋机制期间本基金暂停披露侧袋账户份额净值。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（2）定期报告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基金管理人应当在基金定期报告中披露报告期内特定资产处置进展情况，披露报告期末特定资产可变现净值或净值区间的，该净值或净值区间并不代表特定资产最终的变现价格，不作为基金管理人对特定资产最终变现价格的承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（3）临时公告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基金管理人在启用侧袋机制、处置特定资产、终止侧袋机制以及发生其他可能对投资者利益产生重大影响的事项后应及时发布临时公告。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启用侧袋机制的临时公告内容应当包括启用原因及程序、特定资产流动性和估值情况、对投资者申购赎回的影响、风险提示等重要信息。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处置特定资产的临时公告内容应当包括特定资产处置价格和时间、向侧袋账户份额持有人支付的款项、相关费用发生情况等重要信息。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6、侧袋账户中特定资产的处置变现和支付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特定资产以可出售、可转让、恢复交易等方式恢复流动性后，基金管理人应当按照基金份额持有人利益最大化原则，采取将特定资产予以处置变现等方式，及时向侧袋账户份额持有人支付对应款项。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终止侧袋机制后，基金管理人及时聘请符合《中华人民共和国证券法》规定的会计师事务所进行审计并披露专项审计意见。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本部分关于侧袋机制的相关规定，凡是直接引用法律法规或监管规则的部分，如将来法律法规或监管规则修改导致相关内容被取消或变更的，或上海证券交易所、中国证券登记结算有限责任公司新增相关业务规则且适用于本基金的，基金管理人经与基金托管人协商一致并履行适当程序后，可直接对本部分内容进行修改和调整，无需召开基金份额持有人大会审议。</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23" w:name="_Toc218779121"/>
      <w:r>
        <w:rPr>
          <w:rFonts w:ascii="宋体" w:hAnsi="宋体"/>
          <w:sz w:val="30"/>
        </w:rPr>
        <w:t>二十、风险揭示</w:t>
      </w:r>
      <w:bookmarkEnd w:id="23"/>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（一）市场风险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本基金投资于证券市场，证券价格受整体政治、经济、社会等环境因素的影响会产生波动，从而对本基金的投资产生潜在风险，导致本基金的收益水平发生波动。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政策风险是指国家货币政策、财政政策、产业政策等宏观经济政策发生重大变化而导致的本基金投资对象的价格波动，从而给投资人带来的风险。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经济运行具有周期性的特点，市场的收益水平随经济运行的周期性变动而变动，本基金所投资的固定收益类品种和股权相关的投资工具的收益水平也会随之变化，从而产生风险。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金融市场利率的波动会导致证券市场价格和收益率的变动。利率不仅直接影响着债券的价格和收益率，还影响着企业的融资成本和利润。基金投资于债券和股票，其收益水平可能会受到利率变化的影响。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4、购买力风险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基金的一部分收益将通过现金形式来分配，而现金的购买力可能因为通货膨胀的影响而下降，从而给投资人带来实际收益水平下降的风险。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5、再投资风险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市场利率下降将影响固定收益类证券利息收入的再投资收益率。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6、债券发行人提前兑付风险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当利率下降时，拥有提前兑付权的债券发行人往往会行使该类权利。在此情形下，基金经理不得不将兑付资金再投资到收益率更低的固定收益证券上，从而影响投资组合的整体回报率。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7、上市公司经营风险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市公司的经营状况受多种因素的影响，如管理能力、行业竞争、市场前景、技术更新、财务状况、新产品研究开发等都会导致公司盈利发生变化。如果基金所投资的上市公司经营不善，其股票价格可能下跌，或者能够用于分配的利润减少，使基金投资收益下降。上市公司还可能出现难以预见的变化。虽然基金可以通过投资多样化来分散这种非系统风险，但不能完全避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8、信用风险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信用风险是指金融工具的一方到期无法履行约定义务致使本基金遭受损失的风险。基金在交易过程中可能发生交收违约或者所投资债券的发行人违约、拒绝支付到期本息等情况，从而导致基金资产损失。</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9、通货膨胀风险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由于通货膨胀率提高，基金的实际投资价值会因此降低。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10、法律风险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由于法律法规方面的原因，某些市场行为受到限制或合同不能正常执行，导致了基金资产损失的风险。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（二）基金运作风险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1、管理风险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基金管理运作过程中基金管理人的知识、经验、判断、决策、技能等，会影响其对信息的占有和对经济形势、证券价格走势的判断，从而影响本基金收益水平。此外，基金管理人的职业操守和道德标准同样都有可能对本基金回报带来负面影响。因此，本基金可能因为基金管理人的因素而影响基金收益水平。</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2、操作或技术风险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相关当事人在业务各环节操作过程中，可能因内部控制存在缺陷或者人为因素造成操作失误或违反操作规程等导致本基金资产损失，例如，越权违规交易、会计部门欺诈、交易错误等。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的各种交易行为或者后台运作中，可能因为技术系统的故障或者差错而影响交易的正常进行或者导致投资人的利益受到影响。这种技术风险可能来自基金管理人、登记机构、销售机构、银行间债券市场、证券交易所、证券登记结算机构、中央国债登记结算有限责任公司等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（三）其他风险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1、技术风险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计算机、通讯系统、交易网络等技术保障系统或信息网络支持出现异常情况，可能导致本基金在转为上市开放式基金（LOF）后，基金的申购赎回无法按正常时限完成、登记系统瘫痪、核算系统无法按正常时限显示产生净值、基金的投资交易指令无法及时传输等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2、金融市场危机、行业竞争、代理机构违约、托管行违约等超出本基金管理人自身直接控制能力之外的风险，可能导致本基金或者基金份额持有人的利益受损；</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3、战争、自然灾害等不可抗力因素的出现，将会严重影响证券市场的运行，可能导致基金资产的损失；</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4、因人为因素而产生的风险、如内幕交易、欺诈行为等产生的风险；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5、对主要业务人员如基金经理的依赖而可能产生的风险；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6、其他意外导致的风险。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（四）本基金的特有风险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1、折价风险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基金合同生效二年内（含第二年）不开放申购、赎回，期间基金份额持有人只能通过二级市场交易卖出基金份额变现。在证券市场持续下跌、基金交易不活跃等情况下，有可能出现基金份额二级市场交易价格低于基金份额净值的情形，即基金折价交易，从而影响投资人收益或产生损失。</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2、投资定向增发股票风险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生效二年内（含第二年），本基金投资非公开发行股票资产占非现金基金资产的比例不低于80%。公募基金参与定向增发，如果估值日在证券交易所上市交易的同一股票的市价高于非公开发行股票的初始取得成本时，根据法律法规以及监管部门规定方法进行估值。因此，本基金的基金份额净值可能由于估值方法的原因偏离所持有股票的收盘价所对应的净值。投资人在二级市场交易时，需要考虑该估值方式对基金份额净值的影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3、混合型基金存在的风险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本基金为混合型基金，资产配置策略对基金的投资业绩具有较大的影响。在类别资产配置中可能会由于市场环境、公司治理、制度建设等因素的不同影响，导致资产配置偏离优化水平，为组合绩效带来风险。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4、投资股指期货的风险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（1）基差风险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在使用股指期货对冲市场风险的过程中，基金财产可能因为股指期货合约与标的指数价格波动不一致而遭受基差风险。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（2）系统性风险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组合现货的β可能不足或者过高，组合风险敞口过大，股指期货空头头寸不能完全对冲现货的风险，组合存在系统性暴露的风险。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（3）保证金风险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产品的期货头寸，如果未预留足够现金，在市场出现极端情况时，可能遭遇保证金不足而被强制平仓的风险。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（4）合约展期风险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组合持有的主力合约交割日临近，需要更换合约进行展期，如果合约的基差朝不利的方向变化或流动性不足，展期会面临风险。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5、投资科创板股票的风险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科创板个股上市前五日无涨跌停限制，其后涨跌幅限制在正负20%以内，个股波动幅度较其他股票加大，市场风险随之上升。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科创板整体投资门槛较高，个人投资者必须满足交易满两年并且资金在50万以上才可参与，二级市场上个人投资者参与度相对较低。机构投资者在投资决策上具有一定的趋同性，将会造成市场的流动性风险。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（3）信用风险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科创板试点注册制，对经营状况不佳或财务数据造假的企业实行严格的退市制度，科创板个股存在退市风险。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（4）集中度风险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科创板为新设板块，初期可投标的较少，投资者容易集中投资于少量个股，市场可能存在高集中度状况，整体存在集中度风险。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（5）系统性风险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科创板企业均为市场认可度较高的科技创新企业，在企业经营及盈利模式上存在趋同，所以科创板个股相关性较高，市场表现不佳时，系统性风险将更为显著。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（6）政策风险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国家对高新技术产业扶持力度及重视程度的变化会对科创板企业带来较大影响，国际经济形势变化对战略新兴产业及科创板个股也会带来政策影响。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6、投资存托凭证的风险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本基金的投资范围包括存托凭证，若投资可能面临中国存托凭证价格大幅波动甚至出现较大亏损的风险，以及与创新企业、境外发行人、中国存托凭证发行机制以及交易机制等相关的风险。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7、侧袋机制的相关风险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净值信息，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基金管理人将根据主袋账户运作情况合理确定申购政策，因此实施侧袋机制后主袋账户份额存在暂停申购的可能。</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8、投资北京证券交易所股票的风险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（1）上市公司经营风险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北交所上市企业主要为创新成长型企业，普遍具有规模小、对技术依赖性强、技术迭代快、议价能力不强等特点，或尚处于初步发展阶段，业务收入、现金流及盈利水平等具有较大不确定性。该类企业抗市场风险和行业风险能力较弱，存在较大经营风险，由此可能对基金净值造成不利影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（2）股价大幅波动风险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相较于沪/深证券交易所，北交所竞价交易设置了更宽的涨跌幅限制，股票上市交易首日不设涨跌幅限制，其后涨跌幅限制为30%，股价大幅波动的风险可能大于A股其他板块，由此可能导致基金净值较大幅度的波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（3）流动性风险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北交所股票投资门槛较高，二级市场上个人投资者参与度相对较低，机构投资者持有个股大量流通盘将导致个股流动性较差，若机构投资者在特定阶段对个股形成一致预期，由此可能导致基金面临无法及时变现及其他相关流动性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（4）转板风险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北交所上市公司在满足相关法律法规和证监会规定的基本上市条件并符合交易所规定的具体上市条件的，可申请转板上市。无论北交所上市公司是否转板成功，均可能引起基金净值波动。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（5）退市风险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北交所上市公司后续经营期间如果触及相关法律法规、证监会及交易所等规定的退市情形，可能面临被终止上市的风险，从而可能给基金净值带来不利影响。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（6）系统性风险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因北交所上市公司大部分为新兴产业公司，其商业模式、盈利风险、业绩波动等特征较为相似，基金难以通过分散投资降低投资风险，若股票价格同向波动，将引起基金净值波动。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同时，北交所上市公司平移自新三板精选层，从历史来看整体估值受政策阶段性影响较大，所以北交所个股估值相关性较高，政策空窗期或市场表现不佳时，系统性风险将更为显著。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（7）集中度风险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北交所为新设交易所，初期可投资标的较少，投资者容易集中投资于少量个股，市场可能存在高集中度状况。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（8）政策风险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国家对高新技术、专精特新企业扶持力度及重视程度的变化会对北交所上市公司带来较大影响，国际经济形势变化对专精特新产业及北交所个股也会带来政策影响。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（9）监管规则变化的风险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北交所相关法律、行政法规、部门规章、规范性文件和交易所业务规则，可能根据市场情况进行修订和完善，或者补充制定新的法律法规和业务规则，可能对基金投资运作产生影响，或导致基金投资运作相应调整变化。</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24" w:name="_Toc218779122"/>
      <w:r>
        <w:rPr>
          <w:rFonts w:ascii="宋体" w:hAnsi="宋体"/>
          <w:sz w:val="30"/>
        </w:rPr>
        <w:t>二十一、基金合同的变更、终止与基金财产的清算</w:t>
      </w:r>
      <w:bookmarkEnd w:id="24"/>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（一）基金合同的变更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2、关于基金合同变更的基金份额持有人大会决议自生效后方可执行，并依照《信息披露办法》的有关规定在规定媒介公告。若法律法规发生变化，则以变化后的规定为准。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(二)基金合同的终止事由</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有下列情形之一的，并在履行相关程序后，基金合同应当终止：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3、基金合同约定的其他情形；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4、相关法律法规和中国证监会规定的其他情况。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(三)基金财产的清算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1、基金财产清算小组：基金合同终止事由出现后，基金管理人组织基金财产清算小组并在中国证监会的监督下进行基金清算。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3、在基金财产清算过程中，基金管理人和基金托管人应各自履行职责，继续忠实、勤勉、尽责地履行基金合同和托管协议规定的义务，维护基金份额持有人的合法权益。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4、基金财产清算小组职责：基金财产清算小组负责基金财产的保管、清理、估价、变现和分配。基金财产清算小组可以依法进行必要的民事活动。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5、基金财产清算程序：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6、基金财产清算的期限为6个月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在6个月内办理基金财产的清算事宜，基金财产清算小组可根据基金财产的情况确定清算期限；在特殊情况下，若截至清算期限届满日，本基金仍持有流通受限证券的（包括但不限于未到期回购、未上市新股等），基金管理人可在该等证券可流通后进行二次清算。本基金的清算期限自动顺延至全部基金财产清算完毕之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(四)清算费用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清算费用是指基金财产清算小组在进行基金清算过程中发生的所有合理费用，清算费用由基金财产清算小组优先从基金剩余财产中支付。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(五)基金财产清算剩余资产的分配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(六)基金财产清算的公告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符合《中华人民共和国证券法》规定的会计师事务所审计，律师事务所出具法律意见书后，由基金财产清算小组报中国证监会备案并公告，基金财产清算小组应当将清算报告登载在规定网站上，并将清算报告提示性公告登载在规定报刊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(七)基金财产清算账册及文件的保存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25" w:name="_Toc218779123"/>
      <w:r>
        <w:rPr>
          <w:rFonts w:ascii="宋体" w:hAnsi="宋体"/>
          <w:sz w:val="30"/>
        </w:rPr>
        <w:t>二十二、基金合同的内容摘要</w:t>
      </w:r>
      <w:bookmarkEnd w:id="25"/>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（一）基金份额持有人、基金管理人和基金托管人的权利、义务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（1）根据《基金法》、《运作办法》及其他有关规定，基金管理人的权利包括但不限于：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6）依据基金合同及有关法律规定监督基金托管人，如认为基金托管人违反了基金合同及国家有关法律规定，应呈报中国证监会和其他监管部门，并采取必要措施保护基金投资人的利益；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11）在基金合同约定的范围内，拒绝或暂停受理申购、赎回和转换申请；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12）依照法律法规为基金的利益对被投资公司行使股东权利，为基金的利益行使因基金财产投资于证券所产生的权利；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15）选择、更换律师事务所、会计师事务所、证券/期货经纪商或其他为基金提供服务的外部机构；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16）在符合有关法律、法规的前提下，制订和调整有关基金认购、申购、赎回、转换、转托管等业务的规则；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17）法律法规及中国证监会规定的和基金合同约定的其他权利。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（2）根据《基金法》、《运作办法》及其他有关规定，基金管理人的义务包括但不限于：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1）依法募集资金，办理或者委托经中国证监会认定的其他机构代为办理基金份额的发售、申购、赎回和登记事宜；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8）采取适当合理的措施使计算基金份额认购、申购、赎回和注销价格的方法符合基金合同等法律文件的规定，按有关规定计算并公告基金净值信息，确定各类基金份额申购、赎回的价格；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法律法规或监管机构另有规定或要求外，在基金信息公开披露前应予保密，不向他人泄露，因审计、法律等外部专业顾问提供服务而向其提供的情况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13）按基金合同的约定确定基金收益分配方案，及时向基金份额持有人分配基金收益；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14）按规定受理申购与赎回申请，及时、足额支付赎回款项；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15）依据《基金法》、基金合同及其他有关规定召集基金份额持有人大会或配合基金托管人、基金份额持有人依法召集基金份额持有人大会；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16）按规定保存基金财产管理业务活动的会计账册、报表、记录和其他相关资料15年以上；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24）基金管理人在募集期间未能达到基金的备案条件，基金合同不能生效，基金管理人承担全部募集费用，将已募集资金并加计银行同期活期存款利息（税后）在基金募集期结束后30日内退还基金认购人；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27）法律法规及中国证监会规定的和基金合同约定的其他义务。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（1）根据《基金法》、《运作办法》及其他有关规定，基金托管人的权利包括但不限于：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1）自基金合同生效之日起，依法律法规和基金合同的规定安全保管基金财产；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2）依基金合同约定获得基金托管费以及法律法规规定或监管部门批准的其他费用；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4）根据相关市场规则，为基金开设资金账户、证券账户等投资所需账户，为基金办理证券/期货交易资金清算；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5）提议召开或召集基金份额持有人大会；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6）在基金管理人更换时，提名新的基金管理人；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7）法律法规及中国证监会规定的和基金合同约定的其他权利。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（2）根据《基金法》、《运作办法》及其他有关规定，基金托管人的义务包括但不限于：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1）以诚实信用、勤勉尽责的原则持有并安全保管基金财产；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5）保管由基金管理人代表基金签订的与基金有关的重大合同及有关凭证；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6）按规定开设基金财产的资金账户、证券账户等投资所需账户，按照基金合同的约定，根据基金管理人的投资指令，及时办理清算、交割事宜；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7）保守基金商业秘密，除《基金法》、基金合同及其他有关规定另有规定外，在基金信息公开披露前予以保密，不得向他人泄露；</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8）复核、审查基金管理人计算的基金资产净值、各类基金份额净值、基金份额申购、赎回价格；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9）办理与基金托管业务活动有关的信息披露事项；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11）保存基金托管业务活动的记录、账册、报表和其他相关资料15年以上；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12）建立并保存基金份额持有人名册；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13）按规定制作相关账册并与基金管理人核对；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14）依据基金管理人的指令或有关规定向基金份额持有人支付基金收益和赎回款项；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16）按照法律法规和基金合同的规定监督基金管理人的投资运作；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17）参加基金财产清算小组，参与基金财产的保管、清理、估价、变现和分配；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19）因违反基金合同导致基金财产损失时，应承担赔偿责任，其赔偿责任不因其退任而免除；</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21）执行生效的基金份额持有人大会的决议；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22）法律法规及中国证监会规定的和基金合同约定的其他义务。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持有本基金基金份额的行为即视为对基金合同的承认和接受，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法律法规另有规定或基金合同另有约定外，本基金同一类别每份基金份额具有同等的合法权益。本基金A类基金份额与C类基金份额由于基金份额净值的不同，基金收益分配的金额以及参与清算后的剩余基金财产分配的数量将可能有所不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（1）根据《基金法》、《运作办法》及其他有关规定，基金份额持有人的权利包括但不限于：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1）分享基金财产收益；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3）依照法律法规及本基金合同的规定申请赎回或转让其持有的基金份额；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4）按照规定要求召开基金份额持有人大会或者召集基金份额持有人大会；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8）对基金管理人、基金托管人、基金服务机构损害其合法权益的行为依法提起诉讼或仲裁；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9）法律法规及中国证监会规定的和基金合同约定的其他权利。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（2）根据《基金法》、《运作办法》及其他有关规定，基金份额持有人的义务包括但不限于：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1）认真阅读并遵守基金合同、招募说明书等信息披露文件；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3）关注基金信息披露，及时行使权利和履行义务；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4）缴纳基金认购、申购款项及法律法规和基金合同所规定的费用；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5）在其持有的基金份额范围内，承担基金亏损或者基金合同终止的有限责任；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6）不从事任何有损基金及其他基金合同当事人合法权益的活动；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7）执行生效的基金份额持有人大会的决议；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8）返还在基金交易过程中因任何原因获得的不当得利；</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（二）基金份额持有人大会召集、议事及表决的程序和规则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自基金合同生效后第二个年度对日起，如满足基金合同约定的存续条件，本基金无需召开基金份额持有人大会，按照基金合同约定自动转型为上市开放式基金（LOF），并更名为银华鑫盛灵活配置混合型证券投资基金（LOF）。基金份额持有人将按其所持上市开放式基金的每一基金份额享有相应的投票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本基金份额持有人大会不设日常机构。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若将来法律法规对基金份额持有人大会另有规定的，以届时有效的法律法规为准。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1、召开事由</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（1）当出现或需要决定下列事由之一的，应当召开基金份额持有人大会：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1）终止基金合同（法律法规、基金合同、中国证监会另有规定的除外）；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2）更换基金管理人；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3）更换基金托管人；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4）转换基金运作方式（法律法规、中国证监会另有规定的除外）；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5）调整基金管理人、基金托管人的报酬标准，调高销售服务费率，但法律法规要求调整该等报酬标准或调高销售服务费率的除外；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6）变更基金类别；</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7）本基金与其他基金的合并（法律法规、中国证监会另有规定的除外）；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8）变更基金投资目标、范围或策略（法律法规、中国证监会另有规定的除外）；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9）终止基金上市，但因基金不再具备上市条件而被上海证券交易所终止上市的除外；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10）变更基金份额持有人大会程序（法律法规、中国证监会另有规定的除外）；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11）基金管理人或基金托管人要求召开基金份额持有人大会；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12）单独或合计持有本基金总份额10%以上（含10%）基金份额的基金份额持有人（以基金管理人收到提议当日的基金份额计算，下同）就同一事项书面要求召开基金份额持有人大会；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13）对基金合同当事人权利和义务产生重大影响的其他事项；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14）法律法规、基金合同或中国证监会规定的其他应当召开基金份额持有人大会的事项。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（2）在不违反法律法规和基金合同约定且对基金份额持有人利益无实质不利影响的前提下，当出现以下情况可由基金管理人和基金托管人协商后修改，不需召开基金份额持有人大会：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1）法律法规要求增加的基金费用的收取和其他应由基金承担的费用的收取；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2）调整本基金的申购费率，变更收费方式，调低赎回费率、销售服务费率或除基金管理费、基金托管费之外的其他应由基金承担的费用，或调整基金份额类别设置；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3）因相应的法律法规或行业自律规则发生变动而应当对基金合同进行修改；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4）对基金合同的修改对基金份额持有人利益无实质性不利影响或修改不涉及基金合同当事人权利义务关系发生重大变化；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5）基金推出新业务或服务；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6）基金管理人、登记机构、其他基金销售机构在法律法规规定的范围内调整有关基金认购、申购、赎回、转换、非交易过户、转托管等业务的规则；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7）调整基金收益的分配原则和支付方式；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8）本基金在交易所上市交易、申购和赎回；</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9）按照法律法规和基金合同规定应当召开基金份额持有人大会的以外的其他情形。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2、会议召集人及召集方式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（1）除法律法规规定或基金合同另有约定外，基金份额持有人大会由基金管理人召集；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（2）基金管理人未按规定召集或不能召集时，由基金托管人召集；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代表基金份额10%以上（含10%）的基金份额持有人就同一事项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（6）基金份额持有人会议的召集人负责选择确定开会时间、地点、方式和权益登记日。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3、召开基金份额持有人大会的通知时间、通知内容、通知方式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（1）召开基金份额持有人大会，召集人应于会议召开前30日，在规定媒介公告。基金份额持有人大会不得就未经公告的事项进行表决。基金份额持有人大会通知应至少载明以下内容：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1）会议召开的时间、地点和会议形式；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2）会议拟审议的事项、议事程序和表决方式；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3）有权出席基金份额持有人大会的基金份额持有人的权益登记日；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4）授权委托证明的内容要求（包括但不限于代理人身份，代理权限和代理有效期限等）、送达时间和地点；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5）会务常设联系人姓名及联系电话；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6）出席会议者必须准备的文件和必须履行的手续；</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7）召集人需要通知的其他事项。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表决意见提交的截止时间和收取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4、基金份额持有人出席会议的方式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基金份额持有人大会可通过现场开会方式、通讯开会方式及法律法规或监管机构允许的其他方式召开，会议的召开方式由会议召集人确定。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亲自出席会议者持有基金份额的有关证明文件、受托出席会议者出具的委托人持有基金份额的有关证明文件及委托人的代理投票授权委托证明及有关证明文件符合法律法规、基金合同和会议通知的规定，并且持有基金份额的凭证与基金管理人持有的登记资料相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通讯开会系指按照本基金合同的相关规定以召集人通知的非现场方式（包括邮寄、网络、电话、短信或其他方式）进行表决，基金份额持有人将其对表决事项的投票以召集人通知载明的非现场方式在表决截止日以前送达至召集人指定的地址或系统。</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1）会议召集人按基金合同约定公布会议通知后，在2个工作日内连续公布相关提示性公告；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或监管机构允许的情况下，经会议通知载明，本基金亦可采用其他非现场方式或者以现场方式与非现场方式相结合的方式召开基金份额持有人大会，会议程序比照现场开会和通讯方式开会的程序进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（4）基金份额持有人授权他人代为出席会议并表决的，在法律法规或监管机构允许的情况下，授权方式可以采用书面、网络、电话、短信或其他方式，召集人接受的具体授权方式在会议通知中列明。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5、议事内容与程序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但本基金合同另有约定的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单独或合并持有权益登记日基金总份额10%（含10%）以上的基金份额持有人可以在基金份额持有人大会召集人发出会议通知前向大会召集人提交需由基金份额持有人大会审议表决的提案；也可以在会议通知发出后向大会召集人提交临时提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基金份额持有人大会的召集人发出召开会议的通知后，如果需要对原有提案进行修改，应当在基金份额持有人大会召开前30日及时公告。否则，会议的召开日期应当顺延并保证至少与公告日期有30日的间隔期。</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召集人对于基金管理人、基金托管人和基金份额持有人提交的临时提案进行审核，符合条件的应当在大会召开日30天前公告。大会召集人应当按照以下原则对提案进行审核：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规定程序宣布会议议事程序及注意事项，确定和公布监票人，然后由大会主持人宣读提案，经讨论后进行表决，经合法执业的律师见证后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在通讯开会的情况下，首先由召集人提前30日公布提案，在所通知的表决截止日期后5个工作日内在公证机关监督下由召集人统计全部有效表决，在公证机关监督下形成决议。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6、表决</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在上述规则的前提下，具体规则以召集人发布的基金份额持有人大会通知为准。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2）监票人应当在基金份额持有人表决后立即进行清点并由大会主持人当场公布计票结果。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4）计票过程应由公证机关予以公证，基金管理人或基金托管人拒不出席大会的，不影响计票的效力。</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8、生效与公告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基金份额持有人大会的决议，召集人应当自通过之日起5日内报中国证监会备案。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基金份额持有人大会的决议自表决通过之日起生效。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9、实施侧袋机制期间基金份额持有人大会的特殊约定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（1）基金份额持有人行使提议权、召集权、提名权所需单独或合计代表相关基金份额10%以上（含10%）；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（2）现场开会的到会者在权益登记日代表的基金份额不少于本基金在权益登记日相关基金份额的二分之一（含二分之一）；</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（3）通讯开会的直接出具表决意见或授权他人代表出具表决意见的基金份额持有人所持有的基金份额不小于在权益登记日相关基金份额的二分之一（含二分之一）；</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（5）现场开会由出席大会的基金份额持有人和代理人所持表决权的50%以上（含50%）选举产生一名基金份额持有人作为该次基金份额持有人大会的主持人；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（6）一般决议须经参加大会的基金份额持有人或其代理人所持表决权的二分之一以上（含二分之一）通过；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（7）特别决议应当经参加大会的基金份额持有人或其代理人所持表决权的三分之二以上（含三分之二）通过。</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同一主侧袋账户内的每份基金份额具有平等的表决权。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（三）基金合同解除和终止的事由、程序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1、基金合同的变更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（2）关于基金合同变更的基金份额持有人大会决议自生效后方可执行，并依照《信息披露办法》的有关规定在规定媒介公告。若法律法规发生变化，则以变化后的规定为准。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2、基金合同的终止事由</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有下列情形之一的，并在履行相关程序后，基金合同应当终止：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（3）基金合同约定的其他情形；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（4）相关法律法规和中国证监会规定的其他情况。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（1）基金财产清算小组：基金合同终止事由出现后，基金管理人组织基金财产清算小组并在中国证监会的监督下进行基金清算。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（3）在基金财产清算过程中，基金管理人和基金托管人应各自履行职责，继续忠实、勤勉、尽责地履行基金合同和托管协议规定的义务，维护基金份额持有人的合法权益。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（4）基金财产清算小组职责：基金财产清算小组负责基金财产的保管、清理、估价、变现和分配。基金财产清算小组可以依法进行必要的民事活动。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（5）基金财产清算程序：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（6）基金财产清算的期限为6个月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在6个月内办理基金财产的清算事宜，基金财产清算小组可根据基金财产的情况确定清算期限；在特殊情况下，若截至清算期限届满日，本基金仍持有流通受限证券的（包括但不限于未到期回购、未上市新股等），基金管理人可在该等证券可流通后进行二次清算。本基金的清算期限自动顺延至全部基金财产清算完毕之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4、清算费用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清算费用是指基金财产清算小组在进行基金清算过程中发生的所有合理费用，清算费用由基金财产清算小组优先从基金剩余财产中支付。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5、基金财产清算剩余资产的分配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符合《中华人民共和国证券法》规定的会计师事务所审计，律师事务所出具法律意见书后，由基金财产清算小组报中国证监会备案并公告，基金财产清算小组应当将清算报告登载在规定网站上，并将清算报告提示性公告登载在规定报刊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7、基金财产清算账册及文件的保存</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（四）争议解决方式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仲裁地点为北京市，按照中国国际经济贸易仲裁委员会届时有效的仲裁规则进行仲裁。仲裁裁决是终局的，对各方当事人均有约束力，仲裁费用由败诉方承担，除非仲裁裁决另有决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本基金合同受中国法律（为本基金合同之目的，不包括香港特别行政区、澳门特别行政区和台湾地区法律）管辖。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（五）基金合同存放地和投资人取得基金合同的方式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基金合同可印制成册，供投资人在基金管理人、基金托管人、其他销售机构的办公场所和营业场所查阅。</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26" w:name="_Toc218779124"/>
      <w:r>
        <w:rPr>
          <w:rFonts w:ascii="宋体" w:hAnsi="宋体"/>
          <w:sz w:val="30"/>
        </w:rPr>
        <w:t>二十三、基金托管协议的内容摘要</w:t>
      </w:r>
      <w:bookmarkEnd w:id="26"/>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（一）基金托管协议当事人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名称：银华基金管理股份有限公司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注册地址：广东省深圳市福田区深南大道6008号特区报业大厦19层</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办公地址：北京市东城区东长安街1号东方广场东方经贸城C2办公楼15层</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法定代表人：王珠林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成立时间：2001年5月28日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批准设立批准设立机关及批准设立文号：中国证监会证监基金字［2001］7号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注册资本：贰亿贰仟贰佰贰拾万元人民币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经营范围：基金募集、基金销售、资产管理、中国证监会许可的其他业务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电话：010-58163000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传真：010-58163090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联系人：冯晶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名称：中国工商银行股份有限公司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注册地址：北京市西城区复兴门内大街55号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成立时间：1984年1月1日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法定代表人：易会满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注册资本：人民币35,640,625.71万元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联系电话：010-66105799</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联系人：洪渊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（二）基金托管人对基金管理人的业务监督和核查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1、基金托管人对基金管理人的投资行为行使监督权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（1）基金托管人根据有关法律法规的规定和《基金合同》的约定，对下述基金投资范围、投资对象进行监督。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包括中小板股票、创业板股票、存托凭证及其他经中国证监会核准上市的股票）、债券（国债、金融债、企业债券、公司债券、央行票据、中期票据、短期融资券、超短期融资券、次级债券、地方政府债券、可转换公司债券及分离交易可转债、可交换债券以及其他中国证监会允许投资的债券）、资产支持证券、债券回购、非金融企业债务融资工具、同业存单、银行存款、现金、权证、股指期货以及法律法规或中国证监会允许基金投资的其他金融工具（但须符合中国证监会相关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本基金的投资组合比例为：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二年内（含第二年），股票资产占基金资产的比例为0%-100%；非公开发行股票资产占非现金基金资产的比例不低于80%；每个交易日日终在扣除股指期货合约需缴纳的交易保证金后，本基金应当保持不低于交易保证金一倍的现金。其中，现金不包括结算备付金、存出保证金、应收申购款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按照基金合同约定自动转型为上市开放式基金（LOF）后，股票资产占基金资产的比例为0%-95%。每个交易日日终在扣除股指期货合约需缴纳的交易保证金后，保持不低于基金资产净值5%的现金或者到期日在一年以内的政府债券。其中，现金不包括结算备付金、存出保证金、应收申购款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如法律法规或中国证监会变更投资品种的投资比例限制，基金管理人在履行适当程序后，可以调整上述投资品种的投资比例，其投资比例遵循届时有效的法律法规和相关规定。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（2）基金托管人根据有关法律法规的规定及《基金合同》的约定对下述基金投融资比例进行监督：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生效后二年内（含第二年），股票资产占基金资产的比例为0%-100%，非公开发行股票资产占非现金基金资产的比例不低于80%；本基金按照基金合同约定自动转型为上市开放式基金（LOF）后，股票资产占基金资产的比例为0%-95%；</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生效后二年内（含第二年），每个交易日日终在扣除股指期货合约需缴纳的交易保证金后，本基金应当保持不低于交易保证金一倍的现金；本基金按照基金合同约定自动转型为上市开放式基金（LOF）后，每个交易日日终在扣除股指期货合约需缴纳的交易保证金后，应当保持不低于基金资产净值5%的现金或者到期日在一年以内的政府债券；其中，现金不包括结算备付金、存出保证金、应收申购款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（3）本基金持有一家公司发行的证券，其市值不超过基金资产净值的10%；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（4）本基金管理人管理的且由本基金托管人托管的全部基金持有一家公司发行的证券，不超过该证券的10%；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管理人管理的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（6）本基金持有的全部权证，其市值不得超过基金资产净值的3%；</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（7）本基金管理人管理的且由本基金托管人托管的全部基金持有的同一权证，不得超过该权证的10%；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（8）本基金在任何交易日买入权证的总金额，不得超过上一交易日基金资产净值的0.5%；</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（9）本基金投资于同一原始权益人的各类资产支持证券的比例，不得超过基金资产净值的10%；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（10）本基金持有的全部资产支持证券，其市值不得超过基金资产净值的20%；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（11）本基金持有的同一（指同一信用级别）资产支持证券的比例，不得超过该资产支持证券规模的10%；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（12）本基金管理人管理的且由本基金托管人托管的全部基金投资于同一原始权益人的各类资产支持证券，不得超过其各类资产支持证券合计规模的10%；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按照基金合同约定自动转型为上市开放式基金（LOF）后，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（14）本基金应投资于信用级别评级为BBB以上（含BBB）的资产支持证券。基金持有资产支持证券期间，如果其信用等级下降、不再符合投资标准，应在评级报告发布之日起3个月内予以全部卖出；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（15）本基金与私募类证券资管产品及中国证监会认定的其他主体为交易对手开展逆回购交易的，可接受质押品的资质要求应当与基金合同约定的投资范围保持一致；</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（16）基金财产参与股票发行申购，本基金所申报的金额不超过本基金的总资产，本基金所申报的股票数量不超过拟发行股票公司本次发行股票的总量；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（17）本基金进入全国银行间同业市场进行债券回购的资金余额不得超过基金资产净值的40%，本基金进入全国银行间同业市场进行债券回购的最长期限为1年，债券回购到期后不得展期；</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（18）基金合同生效后二年内（含第二年），基金资产总值不得超过基金资产净值的200%；本基金按照基金合同约定自动转型为上市开放式基金（LOF）后，基金资产总值不得超过基金资产净值的140%；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（19）当本基金参与股指期货交易时，则需遵守下列投资比例限制：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1）本基金在任何交易日日终，持有的买入股指期货合约价值，不得超过基金资产净值的10%；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生效后二年内（含第二年），本基金在任何交易日日终，持有的买入期货合约价值与有价证券市值之和不得超过基金资产净值的100%；本基金按照基金合同约定自动转型为上市开放式基金（LOF）后，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3）本基金在任何交易日日终，持有的卖出期货合约价值不得超过基金持有的股票总市值的20%；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4）本基金所持有的股票市值和买入、卖出股指期货合约价值，合计（轧差计算）应当符合基金合同关于股票投资比例的有关约定；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（20）本基金投资存托凭证的比例限制依照境内上市交易的股票执行，与境内上市交易的股票合并计算。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2）、（13）、（14）、（15）项外，因证券市场及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本基金持有证券期间，如发生证券处于流通受限状态等非基金管理人原因导致基金投资比例不符合前述规定的，基金管理人应在上述情形消除后的10个交易日内调整完毕。法律法规另有规定的，从其规定。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应当符合基金合同的约定。基金托管人对基金的投资的监督与检查自基金合同生效之日起开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对上述投资组合比例限制进行变更的，本基金在履行适当程序后，可相应调整投资比例限制规定，不需经基金份额持有人大会审议。法律法规或监管部门取消上述限制，如适用于本基金，则本基金投资不再受相关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基金管理人应在出现可预见资产规模大幅变动的情况下，至少提前2个工作日正式向基金托管人发函说明基金可能变动规模和公司应对措施，便于托管人实施交易监督。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（3）基金托管人根据有关法律法规的规定及《基金合同》的约定对下述基金投资禁止行为进行监督：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根据法律法规的规定及《基金合同》的约定，本基金禁止从事下列行为：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4）买卖其他基金份额，但是法律法规或中国证监会另有规定的除外；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法律法规或监管部门取消上述限制，如适用于本基金，则本基金投资不再受相关限制。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（4）基金托管人依据有关法律法规的规定和《基金合同》的约定对于基金关联投资限制进行监督。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通过事后监督方式对基金管理人基金投资禁止行为进行监督。根据法律法规有关基金从事关联交易的规定，基金管理人和基金托管人应事先相互提供与本机构有控股关系的股东、实际控制人、与本机构有其他重大利害关系的公司名单及有关关联方发行的或承销期内承销的证券名单。基金管理人和基金托管人有责任确保关联交易名单的真实性、准确性、完整性，并负责及时将更新后的名单发送给对方。如果基金托管人在运作中严格遵循了监督流程，基金管理人仍违规进行关联交易，并造成基金资产损失的，由基金管理人承担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（5）基金托管人依据有关法律法规的规定和《基金合同》的约定对基金管理人参与银行间债券市场进行监督。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1）基金托管人按以下方式对基金管理人参与银行间市场交易的交易对手资信风险控制措施进行监督。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2）基金托管人对于基金管理人参与银行间市场交易的交易方式的控制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基金托管人的监督责任仅限于根据已提供的名单，审核交易对手是否在名单内列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（6）基金托管人对基金管理人选择存款银行进行监督。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进行赔偿。基金管理人在通知基金托管人后，可以根据当时的市场情况对于核心存款银行名单进行调整。基金托管人的监督责任仅限于根据已提供的名单，审核核心存款银行是否在名单内列明。</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（7）基金托管人对基金投资流通受限证券的监督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1）基金投资流通受限证券，应遵守《关于基金投资非公开发行股票等流通受限证券有关问题的通知》等有关法律法规规定。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通受限证券与上文提及的流动性受限资产的定义不同，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应在基金首次投资中期票据前，与基金托管人签署相应的风险控制补充协议，并按照法律法规的规定和补充协议的约定向基金托管人提供经基金管理人董事会批准的有关基金投资中期票据的投资管理制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3、基金托管人依照相关法律法规的规定和基金合同的约定，对侧袋机制启用、特定资产处置和信息披露等方面进行监督，侧袋机制的具体规则依照相关法律法规的规定和基金合同的约定执行。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依据交易程序尚未成交的且基金托管人在交易前能够监控的投资指令，基金托管人发现该投资指令违反有关法律法规规定或者违反《基金合同》约定的，应当拒绝执行，立即通知基金管理人，并向中国证监会报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对于必须于估值完成后方可获知的监控指标或依据交易程序已经成交的投资指令，基金托管人发现该投资指令违反法律法规或者违反《基金合同》约定的，应当立即通知基金管理人，并报告中国证监会。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基金托管人发现基金管理人有重大违规行为，应立即报告中国证监会，同时通知基金管理人限期纠正。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（三）基金管理人对基金托管人的业务核查</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对基金托管人履行托管职责情况进行核查，核查事项包括但不限于基金托管人安全保管基金财产、开设基金财产的资金账户和证券账户等投资所需账户、复核基金管理人计算的基金资产净值和各类基金份额净值、根据管理人指令办理清算交收、相关信息披露和监督基金投资运作等行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基金管理人发现基金托管人有重大违规行为，应立即报告中国证监会和银行业监督管理机构，同时通知基金托管人限期纠正。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基金托管人应积极配合基金管理人的核查行为，包括但不限于：提交相关资料以供基金管理人核查托管财产的完整性和真实性，在规定时间内答复基金管理人并改正。</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（四）基金财产的保管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1、基金财产保管的原则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（1）基金财产应独立于基金管理人、基金托管人的固有财产。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（2）基金托管人应安全保管基金财产。未经基金管理人的正当指令，不得自行运用、处分、分配基金的任何财产。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（3）基金托管人按照规定开设基金财产的资金账户和证券账户等投资所需账户。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（4）基金托管人对所托管的不同基金财产分别设置账户，与基金托管人的其他业务和其他基金的托管业务实行严格的分账管理，确保基金财产的完整与独立。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应予以必要协助，但对此不承担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2、募集资金的验证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募集期内销售机构按销售与服务代理协议的约定，将认购资金划入基金管理人在具有托管资格的商业银行开设的银华基金管理股份有限公司基金认购专户。该账户由基金管理人开立并管理。基金募集期满，募集的基金份额总额、基金募集金额、基金份额持有人人数符合《基金法》、《运作办法》等有关规定后，由基金管理人聘请具有证券、期货业务资格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若基金募集期限届满，未能达到《基金合同》生效的条件，由基金管理人按规定办理退款事宜。</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3、基金的银行账户的开立和管理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基金托管人以基金托管人的名义在其营业机构开设资产托管专户，保管基金的银行存款。该账户的开设和管理由基金托管人承担。本基金的一切货币收支活动，均需通过基金托管人的资产托管专户进行。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资产托管专户的开立和使用，限于满足开展本基金业务的需要。基金托管人和基金管理人不得假借本基金的名义开立其他任何银行账户；亦不得使用基金的任何银行账户进行本基金业务以外的活动。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资产托管专户的管理应符合《人民币银行结算账户管理办法》、《现金管理暂行条例》、《人民币利率管理规定》、《利率管理暂行规定》、《支付结算办法》以及银行业监督管理机构的其他规定。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4、基金证券账户与证券交易资金账户的开设和管理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基金托管人以基金托管人和本基金联名的方式在中国证券登记结算有限责任公司上海分公司/深圳分公司开设证券账户。</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基金托管人以基金托管人的名义在中国证券登记结算有限责任公司上海分公司/深圳分公司开立基金证券交易资金账户，用于证券清算。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5、债券托管账户的开立和管理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（2）基金管理人和基金托管人应一起负责为基金对外签订全国银行间债券市场回购主协议，正本由基金托管人保管，基金管理人保存副本。</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6、其他账户的开设和管理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7、基金财产投资的有关实物证券、银行定期存款存单等有价凭证的保管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有关实物证券由基金托管人存放于基金托管人的保管库；其中实物证券也可存入中央国债登记结算有限责任公司、银行间市场清算所股份有限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8、与基金财产有关的重大合同的保管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对于无法取得二份以上的正本的，基金管理人应向基金托管人提供加盖授权业务章的合同传真件，未经双方协商或未在合同约定范围内，合同原件不得转移。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（五）基金资产净值计算与会计核算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1、基金资产净值的计算</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A类基金份额和C类基金份额的基金份额净值是指计算日A类基金份额和C类基金份额的基金资产净值分别除以该计算日该类基金份额总份额后的数值。本基金各类基金份额净值的计算，均保留到小数点后3位，小数点后第4位四舍五入，由此产生的误差计入基金财产。国家另有规定的，从其规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每个估值日对基金资产估值。估值原则应符合《基金合同》、《证券投资基金会计核算业务指引》及其他法律、法规的规定。A类基金份额和C类基金份额的基金资产净值和基金份额净值由基金管理人负责计算，基金托管人复核。基金管理人应于每个估值日交易结束后计算当日的各类基金份额净值并以双方认可的方式发送给基金托管人。基金托管人对净值计算结果复核后以双方认可的方式发送给基金管理人，由基金管理人对基金净值予以公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基金管理人计算并公告基金净值信息，基金托管人复核、审查基金管理人计算的基金资产净值。因此，本基金的会计责任方是基金管理人，就与本基金有关的会计问题，如经相关各方在平等基础上充分讨论后，仍无法达成一致的意见，按照基金管理人对基金净值信息的计算结果对外予以公布。法律法规以及监管部门有强制规定的，从其规定。如有新增事项，按国家最新规定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2、基金资产估值方法</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（1）估值对象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基金所拥有的股票、股指期货合约、权证、债券和银行存款本息、应收款项、其它投资等资产及负债。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（2）估值方法</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本基金的估值方法为：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交易所上市实行净价交易的债券按第三方估值机构提供的相应品种当日的估值净价估值，估值日没有交易的，且最近交易日后经济环境未发生重大变化，按第三方估值机构提供的相应品种当日的估值净价估值。如最近交易日后经济环境发生了重大变化的，可参考类似投资品种的现行市价及重大变化因素，调整最近交易市价，确定公允价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交易所上市未实行净价交易的债券按估值日收盘价或第三方估值机构提供的相应品种当日的估值全价减去债券收盘价或估值全价中所含的债券应收利息得到的净价进行估值；估值日没有交易的，且最近交易日后经济环境未发生重大变化，按最近交易日债券收盘价或第三方估值机构提供的相应品种当日的估值全价减去债券收盘价或估值全价中所含的债券应收利息得到的净价进行估值。如最近交易日后经济环境发生了重大变化的，可参考类似投资品种的现行市价及重大变化因素，调整最近交易市价，确定公允价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④交易所上市不存在活跃市场的有价证券，采用估值技术确定公允价值。交易所上市的资产支持证券，采用估值技术确定公允价值，在估值技术难以可靠计量公允价值的情况下，按成本估值。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⑤本基金投资存托凭证的估值核算，依照境内上市交易的股票执行。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2）处于未上市期间的有价证券应区分如下情况处理：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①送股、转增股、配股和公开增发的股票，按估值日在证券交易所挂牌的同一股票的估值方法估值；该日无交易的，以最近一日的市价（收盘价）估值；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②首次公开发行未上市的股票、债券和权证，采用估值技术确定公允价值，在估值技术难以可靠计量公允价值的情况下，按成本估值；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③首次公开发行有明确锁定期的股票，同一股票在交易所上市后，按交易所上市的同一股票的估值方法估值；非公开发行有明确锁定期的股票，按监管机构或行业协会有关规定确定公允价值。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3）全国银行间债券市场交易的债券、资产支持证券等固定收益品种，以第三方估值机构提供的价格数据估值。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4）同一债券同时在两个或两个以上市场交易的，按债券所处的市场分别估值。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5）本基金持有的回购以成本列示，按合同利率在回购期间内逐日计提应收或应付利息。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6）本基金持有的银行存款和备付金余额以本金列示，按相应利率逐日计提利息。</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7）本基金投资同业存单，按估值日第三方估值机构提供的估值净价估值；选定的第三方估值机构未提供估值价格的，按成本估值。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8）本基金投资股指期货合约，按估值当日结算价进行估值，估值当日无结算价的，且最近交易日后经济环境未发生重大变化的，采用最近交易日结算价估值。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9）如有确凿证据表明按上述方法进行估值不能客观反映其公允价值的，基金管理人可根据具体情况与基金托管人商定后，按最能反映公允价值的价格估值。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10）相关法律法规以及监管部门有强制规定的，从其规定。如有新增事项，按国家最新规定估值。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3、估值差错处理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因基金估值错误给投资者造成损失的应先由基金管理人承担，基金管理人对不应由其承担的责任，有权向过错人追偿。</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管理人计算的基金资产净值、各类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一方当事人提供的信息错误，另一方当事人在采取了必要合理的措施后仍不能发现该错误，进而导致基金资产净值、各类基金份额净值计算错误造成投资者或基金的损失，以及由此造成以后交易日基金资产净值、各类基金份额净值计算顺延错误而引起的投资者或基金的损失，由提供错误信息的当事人一方负责赔偿。</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证券/期货交易所、登记结算公司、证券/期货经纪机构发送的数据错误及第三方估值机构提供的估值数据错误，有关会计制度变化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4、实施侧袋机制期间的基金资产估值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本基金实施侧袋机制的，应根据本部分的约定对主袋账户资产进行估值并披露主袋账户的基金净值信息，暂停披露侧袋账户份额净值。</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5、基金账册的建立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6、基金定期报告的编制和复核</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基金财务报表由基金管理人和基金托管人每月分别独立编制。月度报表的编制，应于每月终了后5个工作日内完成。</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每个季度结束之日起15个工作日内完成季度报告编制并公告；在上半年结束之日起两个月内完成中期报告编制并公告；在每年结束之日起三个月内完成年度报告编制并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5个工作日内完成月度报告，在月度报告完成当日，对报告加盖公章后，以加密传真方式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30日内完成半年度报告，在中期报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基金托管人在对基金财务报表、季度报告、中期报告或年度报告复核完毕后，需盖章确认或出具相应的复核确认书，以备有权机构对相关文件审核时提示。</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（六）基金份额持有人名册的保管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名册由基金的基金登记机构根据基金管理人的指令编制和保管，保管期限为20年。基金管理人和基金托管人应按照目前相关规则分别保管基金份额持有人名册，保管期限为15年。保管方式可以采用电子或文档的形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各类基金份额。其中每年12月31日的基金份额持有人名册应于下月前十个工作日内提交；《基金合同》生效日、《基金合同》终止日等涉及到基金重要事项日期的基金份额持有人名册应于发生日后十个工作日内提交。</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基金托管人以电子版形式妥善保管基金份额持有人名册，并定期刻成光盘备份，保存期限为15年。基金托管人不得将所保管的基金份额持有人名册用于基金托管业务以外的其他用途，并应遵守保密义务。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若基金管理人或基金托管人由于自身原因无法妥善保管基金份额持有人名册，应按有关法规规定各自承担相应的责任。</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（七）争议解决方式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相关各方当事人同意，因本协议而产生的或与本协议有关的一切争议，除经友好协商可以解决的，应提交中国国际经济贸易仲裁委员会根据该会当时有效的仲裁规则进行仲裁，仲裁的地点在北京市，仲裁裁决是终局性的并对相关各方均有约束力，仲裁费用由败诉方承担，除非仲裁裁决另有决定。</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争议处理期间，相关各方当事人应恪守基金管理人和基金托管人职责，继续忠实、勤勉、尽责地履行《基金合同》和托管协议规定的义务，维护基金份额持有人的合法权益。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本协议受中国法律管辖。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（八）托管协议的修改与终止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1、托管协议的变更程序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本协议双方当事人经协商一致，可以对协议的内容进行变更。变更后的托管协议，其内容不得与《基金合同》的规定有任何冲突。基金托管协议的变更报中国证监会备案。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2、基金托管协议终止的情形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发生以下情况，本托管协议终止：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（2）基金托管人解散、依法被撤销、破产或有其他基金托管人接管基金资产；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（3）基金管理人解散、依法被撤销、破产或有其他基金管理人接管基金管理权；</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（4）发生法律法规及中国证监会规定或《基金合同》约定的终止事项。</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27" w:name="_Toc218779125"/>
      <w:r>
        <w:rPr>
          <w:rFonts w:ascii="宋体" w:hAnsi="宋体"/>
          <w:sz w:val="30"/>
        </w:rPr>
        <w:t>二十四、对基金份额持有人的服务</w:t>
      </w:r>
      <w:bookmarkEnd w:id="27"/>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基金管理人承诺为基金份额持有人提供一系列的服务，并将根据基金份额持有人的需要和市场的变化增加、修订这些服务项目。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主要服务内容如下：</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（一）资料寄送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1、基金投资人对账单</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电子对账单服务采取定制方式，未定制此服务的投资人可通过公司官网、客服热线、官方微信公众号等途径自助查询账户情况。电子对账单按月度、季度和年度提供，包括微信、电子邮件等电子方式，基金份额持有人可根据需要自行选择。电子对账单会在当期结束后，5个工作日内发送。微信未绑定账户、取消关注、电子邮件地址不详的除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投资者提供的电子邮箱不详、错误、未及时变更或通讯故障、延误、微信未绑定账户、取消关注等原因有可能造成对账单无法按时或准确送达。因上述原因无法正常收取对账单的投资者，敬请及时通过本基金管理人网站，或拨打客服热线查询、核对、变更您的预留联系方式。</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（3）如需纸质对账单，敬请拨打客服热线获取。</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2、其他相关的信息资料</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（二）咨询、查询服务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1.信息查询密码</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基金查询密码用于投资人查询基金账户下的账户和交易信息。投资人请在知晓基金账号后，及时登录公司网站www.yhfund.com.cn修改基金查询密码，为充分保障投资人信息安全，新密码应为6-18位数字加字母组合。</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2.信息咨询、查询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投资者如果想了解认购、申购和赎回等交易情况、基金账户余额、基金产品与服务等信息，请拨打基金管理人客户服务中心电话或登录公司网站进行咨询、查询。</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客户服务中心：400-678-3333、010-85186558</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公司网址：www.yhfund.com.cn</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（三）在线服务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基金管理人利用自已的线上平台定期或不定期为基金投资人提供投资资讯及基金经理（或投资顾问）交流服务。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（四）电子交易与服务</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投资者可通过基金管理人的线上交易系统进行基金交易，详情请查看公司网站或相关公告。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sidRPr="00BB248E">
        <w:rPr>
          <w:rFonts w:ascii="宋体" w:hAnsi="宋体" w:hint="eastAsia"/>
          <w:b/>
          <w:kern w:val="0"/>
          <w:sz w:val="24"/>
        </w:rPr>
        <w:t>（五）如本招募说明书存在任何您/贵机构无法理解的内容，请通过上述方式联系基金管理人。请确保投资前，您/贵机构已经全面理解了本招募说明书。</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28" w:name="_Toc218779126"/>
      <w:r>
        <w:rPr>
          <w:rFonts w:ascii="宋体" w:hAnsi="宋体"/>
          <w:sz w:val="30"/>
        </w:rPr>
        <w:t>二十五、其他应披露事项</w:t>
      </w:r>
      <w:bookmarkEnd w:id="28"/>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2025年02月14日发布《银华基金管理股份有限公司关于银华鑫盛灵活配置混合型证券投资基金（LOF）增聘基金经理的公告》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2025年04月02日发布《银华基金管理股份有限公司关于银华鑫盛灵活配置混合型证券投资基金（LOF）基金经理离任的公告》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2025年08月23日发布《银华基金管理股份有限公司关于旗下部分基金持有的华虹公司估值方法调整的公告》</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2025年09月05日发布《银华基金管理股份有限公司关于旗下部分基金持有的中芯国际估值方法调整的公告》</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29" w:name="_Toc218779127"/>
      <w:r>
        <w:rPr>
          <w:rFonts w:ascii="宋体" w:hAnsi="宋体"/>
          <w:sz w:val="30"/>
        </w:rPr>
        <w:t>二十六、招募说明书的存放及查阅方式</w:t>
      </w:r>
      <w:bookmarkEnd w:id="29"/>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招募说明书公布后，应当分别置备于基金管理人、基金托管人和基金销售机构的住所，投资人可在办公时间免费查阅。在支付工本费后，可在合理时间内取得上述文件的复制件或复印件，但应以本基金招募说明书的正本为准。</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投资人还可以直接登录基金管理人的网站（www.yhfund.com.cn）查阅和下载招募说明书。</w:t>
      </w:r>
    </w:p>
    <w:p w:rsidR="00B439CC" w:rsidRDefault="000C128D"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D12302" w:rsidRDefault="000C128D">
      <w:pPr>
        <w:pStyle w:val="1"/>
        <w:snapToGrid w:val="0"/>
        <w:spacing w:beforeLines="0" w:before="240" w:after="240"/>
        <w:rPr>
          <w:rFonts w:ascii="宋体" w:hAnsi="宋体"/>
          <w:szCs w:val="30"/>
        </w:rPr>
      </w:pPr>
      <w:bookmarkStart w:id="30" w:name="_Toc218779128"/>
      <w:r>
        <w:rPr>
          <w:rFonts w:ascii="宋体" w:hAnsi="宋体"/>
          <w:sz w:val="30"/>
        </w:rPr>
        <w:t>二十七、备查文件</w:t>
      </w:r>
      <w:bookmarkEnd w:id="30"/>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1.中国证监会准予银华鑫盛定增灵活配置混合型证券投资基金募集注册的文件；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2.《银华鑫盛灵活配置混合型证券投资基金（LOF）基金合同》；</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3.《银华鑫盛灵活配置混合型证券投资基金（LOF）托管协议》；</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4.关于申请募集注册银华鑫盛定增灵活配置混合型证券投资基金的法律意见书；</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5.基金管理人业务资格批件和营业执照；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6.基金托管人业务资格批件和营业执照；</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7.中国证监会要求的其他文件。</w:t>
      </w:r>
    </w:p>
    <w:p w:rsidR="00D12302" w:rsidRDefault="000C128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基金托管人业务资格批件和营业执照存放在基金托管人处；基金合同、托管协议及其余备查文件存放在基金管理人处。投资人可在营业时间免费到存放地点查阅，也可按工本费购买复印件。</w:t>
      </w:r>
    </w:p>
    <w:sectPr w:rsidR="00D12302">
      <w:footerReference w:type="default" r:id="rId12"/>
      <w:pgSz w:w="11920" w:h="16840"/>
      <w:pgMar w:top="1360" w:right="1580" w:bottom="280" w:left="1680" w:header="0" w:footer="11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CC0" w:rsidRDefault="000C128D">
      <w:r>
        <w:separator/>
      </w:r>
    </w:p>
  </w:endnote>
  <w:endnote w:type="continuationSeparator" w:id="0">
    <w:p w:rsidR="00A35CC0" w:rsidRDefault="000C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302" w:rsidRDefault="00672960">
    <w:pPr>
      <w:autoSpaceDE w:val="0"/>
      <w:autoSpaceDN w:val="0"/>
      <w:adjustRightInd w:val="0"/>
      <w:spacing w:line="200" w:lineRule="exact"/>
      <w:jc w:val="left"/>
      <w:rPr>
        <w:rFonts w:ascii="Times New Roman" w:hAnsi="Times New Roman"/>
        <w:kern w:val="0"/>
        <w:sz w:val="20"/>
        <w:szCs w:val="20"/>
      </w:rPr>
    </w:pPr>
    <w:r>
      <w:pict>
        <v:shapetype id="_x0000_t202" coordsize="21600,21600" o:spt="202" path="m,l,21600r21600,l21600,xe">
          <v:stroke joinstyle="miter"/>
          <v:path gradientshapeok="t" o:connecttype="rect"/>
        </v:shapetype>
        <v:shape id="_x0000_s2049" type="#_x0000_t202" style="position:absolute;margin-left:293.4pt;margin-top:782.6pt;width:21.6pt;height:11pt;z-index:-251658240;mso-position-horizontal-relative:page;mso-position-vertical-relative:page;mso-width-relative:page;mso-height-relative:page" o:allowincell="f" filled="f" stroked="f">
          <v:textbox inset="0,0,0,0">
            <w:txbxContent>
              <w:p w:rsidR="00D12302" w:rsidRDefault="000C128D">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763681">
                  <w:rPr>
                    <w:rFonts w:ascii="Times New Roman" w:hAnsi="Times New Roman"/>
                    <w:noProof/>
                    <w:kern w:val="0"/>
                    <w:sz w:val="18"/>
                    <w:szCs w:val="18"/>
                  </w:rPr>
                  <w:t>4</w:t>
                </w:r>
                <w:r>
                  <w:rPr>
                    <w:rFonts w:ascii="Times New Roman" w:hAnsi="Times New Roman"/>
                    <w:kern w:val="0"/>
                    <w:sz w:val="18"/>
                    <w:szCs w:val="18"/>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302" w:rsidRDefault="00672960">
    <w:pPr>
      <w:autoSpaceDE w:val="0"/>
      <w:autoSpaceDN w:val="0"/>
      <w:adjustRightInd w:val="0"/>
      <w:spacing w:line="200" w:lineRule="exact"/>
      <w:jc w:val="left"/>
      <w:rPr>
        <w:rFonts w:ascii="Times New Roman" w:hAnsi="Times New Roman"/>
        <w:kern w:val="0"/>
        <w:sz w:val="20"/>
        <w:szCs w:val="20"/>
      </w:rPr>
    </w:pPr>
    <w:r>
      <w:pict>
        <v:shapetype id="_x0000_t202" coordsize="21600,21600" o:spt="202" path="m,l,21600r21600,l21600,xe">
          <v:stroke joinstyle="miter"/>
          <v:path gradientshapeok="t" o:connecttype="rect"/>
        </v:shapetype>
        <v:shape id="_x0000_s2068" type="#_x0000_t202" style="position:absolute;margin-left:291.25pt;margin-top:773.85pt;width:33.5pt;height:11pt;z-index:-251657216;mso-position-horizontal-relative:page;mso-position-vertical-relative:page;mso-width-relative:page;mso-height-relative:page" o:allowincell="f" filled="f" stroked="f">
          <v:textbox inset="0,0,0,0">
            <w:txbxContent>
              <w:p w:rsidR="00D12302" w:rsidRDefault="000C128D">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763681">
                  <w:rPr>
                    <w:rFonts w:ascii="Times New Roman" w:hAnsi="Times New Roman"/>
                    <w:noProof/>
                    <w:kern w:val="0"/>
                    <w:sz w:val="18"/>
                    <w:szCs w:val="18"/>
                  </w:rPr>
                  <w:t>177</w:t>
                </w:r>
                <w:r>
                  <w:rPr>
                    <w:rFonts w:ascii="Times New Roman" w:hAnsi="Times New Roman"/>
                    <w:kern w:val="0"/>
                    <w:sz w:val="18"/>
                    <w:szCs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CC0" w:rsidRDefault="000C128D">
      <w:r>
        <w:separator/>
      </w:r>
    </w:p>
  </w:footnote>
  <w:footnote w:type="continuationSeparator" w:id="0">
    <w:p w:rsidR="00A35CC0" w:rsidRDefault="000C1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302" w:rsidRDefault="00D12302">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302" w:rsidRDefault="00D12302">
    <w:pPr>
      <w:pStyle w:val="a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302" w:rsidRDefault="00D12302">
    <w:pPr>
      <w:pStyle w:val="ac"/>
      <w:jc w:val="right"/>
    </w:pPr>
  </w:p>
  <w:p w:rsidR="00D12302" w:rsidRDefault="00D12302">
    <w:pPr>
      <w:pStyle w:val="ac"/>
      <w:jc w:val="right"/>
    </w:pPr>
  </w:p>
  <w:p w:rsidR="00D12302" w:rsidRDefault="00D12302">
    <w:pPr>
      <w:pStyle w:val="ac"/>
      <w:jc w:val="right"/>
    </w:pPr>
  </w:p>
  <w:p w:rsidR="00D12302" w:rsidRDefault="00D12302">
    <w:pPr>
      <w:pStyle w:val="ac"/>
      <w:jc w:val="right"/>
    </w:pPr>
  </w:p>
  <w:p w:rsidR="00D12302" w:rsidRDefault="000C128D">
    <w:pPr>
      <w:pStyle w:val="ac"/>
      <w:jc w:val="right"/>
      <w:rPr>
        <w:rFonts w:ascii="宋体" w:hAnsi="宋体"/>
      </w:rPr>
    </w:pPr>
    <w:r>
      <w:rPr>
        <w:rFonts w:ascii="宋体" w:hAnsi="宋体" w:hint="eastAsia"/>
      </w:rPr>
      <w:t>银华鑫盛灵活配置混合型证券投资基金（LOF）招募说明书更新(2025年第3号)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0C9"/>
    <w:rsid w:val="000002A2"/>
    <w:rsid w:val="00001EEA"/>
    <w:rsid w:val="00003EC9"/>
    <w:rsid w:val="0000560A"/>
    <w:rsid w:val="0001266E"/>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28D"/>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2100"/>
    <w:rsid w:val="004254D3"/>
    <w:rsid w:val="0042746B"/>
    <w:rsid w:val="00433B69"/>
    <w:rsid w:val="004369AD"/>
    <w:rsid w:val="00436DD6"/>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62C3"/>
    <w:rsid w:val="004C0BC8"/>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2960"/>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63681"/>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35CC0"/>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14ED"/>
    <w:rsid w:val="00D12302"/>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5:docId w15:val="{CB8BA433-87C7-4C11-8B78-DC5E9151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nhideWhenUsed/>
    <w:pPr>
      <w:jc w:val="left"/>
    </w:pPr>
  </w:style>
  <w:style w:type="paragraph" w:styleId="a7">
    <w:name w:val="Document Map"/>
    <w:basedOn w:val="a"/>
    <w:link w:val="a8"/>
    <w:uiPriority w:val="99"/>
    <w:unhideWhenUsed/>
    <w:rPr>
      <w:rFonts w:ascii="宋体"/>
      <w:sz w:val="18"/>
      <w:szCs w:val="18"/>
    </w:rPr>
  </w:style>
  <w:style w:type="paragraph" w:styleId="a9">
    <w:name w:val="Balloon Text"/>
    <w:basedOn w:val="a"/>
    <w:semiHidden/>
    <w:rPr>
      <w:sz w:val="18"/>
      <w:szCs w:val="18"/>
    </w:rPr>
  </w:style>
  <w:style w:type="paragraph" w:styleId="aa">
    <w:name w:val="footer"/>
    <w:basedOn w:val="a"/>
    <w:link w:val="ab"/>
    <w:uiPriority w:val="99"/>
    <w:unhideWhenUsed/>
    <w:pPr>
      <w:tabs>
        <w:tab w:val="center" w:pos="4153"/>
        <w:tab w:val="right" w:pos="8306"/>
      </w:tabs>
      <w:snapToGrid w:val="0"/>
      <w:jc w:val="left"/>
    </w:pPr>
    <w:rPr>
      <w:kern w:val="0"/>
      <w:sz w:val="18"/>
      <w:szCs w:val="18"/>
    </w:rPr>
  </w:style>
  <w:style w:type="paragraph" w:styleId="ac">
    <w:name w:val="header"/>
    <w:link w:val="ad"/>
    <w:uiPriority w:val="99"/>
    <w:unhideWhenUsed/>
    <w:rsid w:val="005D30BA"/>
    <w:pPr>
      <w:pBdr>
        <w:bottom w:val="single" w:sz="6" w:space="1" w:color="auto"/>
      </w:pBdr>
      <w:tabs>
        <w:tab w:val="center" w:pos="4153"/>
        <w:tab w:val="right" w:pos="8306"/>
      </w:tabs>
      <w:snapToGrid w:val="0"/>
    </w:pPr>
    <w:rPr>
      <w:sz w:val="18"/>
      <w:szCs w:val="18"/>
    </w:rPr>
  </w:style>
  <w:style w:type="paragraph" w:styleId="11">
    <w:name w:val="toc 1"/>
    <w:basedOn w:val="a"/>
    <w:next w:val="a"/>
    <w:uiPriority w:val="39"/>
    <w:unhideWhenUsed/>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pPr>
      <w:ind w:leftChars="200" w:left="480"/>
    </w:pPr>
  </w:style>
  <w:style w:type="character" w:styleId="af0">
    <w:name w:val="Hyperlink"/>
    <w:uiPriority w:val="99"/>
    <w:unhideWhenUsed/>
    <w:rPr>
      <w:color w:val="0000FF"/>
      <w:u w:val="single"/>
    </w:rPr>
  </w:style>
  <w:style w:type="character" w:styleId="af1">
    <w:name w:val="annotation reference"/>
    <w:unhideWhenUsed/>
    <w:rPr>
      <w:sz w:val="21"/>
      <w:szCs w:val="21"/>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f3">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e"/>
    <w:next w:val="4"/>
    <w:qFormat/>
    <w:pPr>
      <w:keepNext/>
      <w:keepLines/>
      <w:numPr>
        <w:ilvl w:val="5"/>
        <w:numId w:val="1"/>
      </w:numPr>
      <w:ind w:left="0" w:firstLine="0"/>
      <w:jc w:val="left"/>
    </w:pPr>
    <w:rPr>
      <w:bCs w:val="0"/>
      <w:sz w:val="24"/>
    </w:rPr>
  </w:style>
  <w:style w:type="paragraph" w:customStyle="1" w:styleId="af4">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e"/>
    <w:next w:val="4"/>
    <w:qFormat/>
    <w:pPr>
      <w:keepNext/>
      <w:keepLines/>
      <w:numPr>
        <w:ilvl w:val="1"/>
        <w:numId w:val="1"/>
      </w:numPr>
      <w:jc w:val="left"/>
    </w:pPr>
    <w:rPr>
      <w:bCs w:val="0"/>
      <w:sz w:val="24"/>
    </w:rPr>
  </w:style>
  <w:style w:type="paragraph" w:customStyle="1" w:styleId="XBRLTitle3">
    <w:name w:val="XBRLTitle3"/>
    <w:basedOn w:val="ae"/>
    <w:next w:val="4"/>
    <w:qFormat/>
    <w:pPr>
      <w:keepNext/>
      <w:keepLines/>
      <w:numPr>
        <w:ilvl w:val="2"/>
        <w:numId w:val="1"/>
      </w:numPr>
      <w:ind w:left="0" w:firstLine="0"/>
      <w:jc w:val="left"/>
    </w:pPr>
    <w:rPr>
      <w:bCs w:val="0"/>
      <w:sz w:val="24"/>
    </w:rPr>
  </w:style>
  <w:style w:type="paragraph" w:customStyle="1" w:styleId="XBRLTitle5">
    <w:name w:val="XBRLTitle5"/>
    <w:basedOn w:val="ae"/>
    <w:next w:val="4"/>
    <w:qFormat/>
    <w:pPr>
      <w:keepNext/>
      <w:keepLines/>
      <w:numPr>
        <w:ilvl w:val="4"/>
        <w:numId w:val="1"/>
      </w:numPr>
      <w:ind w:left="0" w:firstLine="0"/>
      <w:jc w:val="left"/>
    </w:pPr>
    <w:rPr>
      <w:bCs w:val="0"/>
      <w:sz w:val="24"/>
    </w:rPr>
  </w:style>
  <w:style w:type="paragraph" w:customStyle="1" w:styleId="XBRLTitle4">
    <w:name w:val="XBRLTitle4"/>
    <w:basedOn w:val="ae"/>
    <w:next w:val="4"/>
    <w:qFormat/>
    <w:pPr>
      <w:keepNext/>
      <w:keepLines/>
      <w:numPr>
        <w:ilvl w:val="3"/>
        <w:numId w:val="1"/>
      </w:numPr>
      <w:ind w:left="0" w:firstLine="0"/>
      <w:jc w:val="left"/>
    </w:pPr>
    <w:rPr>
      <w:bCs w:val="0"/>
      <w:sz w:val="24"/>
    </w:rPr>
  </w:style>
  <w:style w:type="character" w:customStyle="1" w:styleId="Char1">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a6">
    <w:name w:val="批注文字 字符"/>
    <w:link w:val="a4"/>
    <w:rPr>
      <w:kern w:val="2"/>
      <w:sz w:val="21"/>
      <w:szCs w:val="22"/>
    </w:rPr>
  </w:style>
  <w:style w:type="character" w:customStyle="1" w:styleId="a5">
    <w:name w:val="批注主题 字符"/>
    <w:link w:val="a3"/>
    <w:uiPriority w:val="99"/>
    <w:semiHidden/>
    <w:rPr>
      <w:b/>
      <w:bCs/>
      <w:kern w:val="2"/>
      <w:sz w:val="21"/>
      <w:szCs w:val="22"/>
    </w:rPr>
  </w:style>
  <w:style w:type="character" w:customStyle="1" w:styleId="ad">
    <w:name w:val="页眉 字符"/>
    <w:link w:val="ac"/>
    <w:uiPriority w:val="99"/>
    <w:rPr>
      <w:sz w:val="18"/>
      <w:szCs w:val="18"/>
    </w:rPr>
  </w:style>
  <w:style w:type="character" w:customStyle="1" w:styleId="af">
    <w:name w:val="副标题 字符"/>
    <w:link w:val="ae"/>
    <w:rPr>
      <w:rFonts w:ascii="Cambria" w:hAnsi="Cambria" w:cs="Times New Roman"/>
      <w:b/>
      <w:bCs/>
      <w:kern w:val="28"/>
      <w:sz w:val="32"/>
      <w:szCs w:val="32"/>
    </w:rPr>
  </w:style>
  <w:style w:type="character" w:customStyle="1" w:styleId="a8">
    <w:name w:val="文档结构图 字符"/>
    <w:link w:val="a7"/>
    <w:uiPriority w:val="99"/>
    <w:semiHidden/>
    <w:rPr>
      <w:rFonts w:ascii="宋体"/>
      <w:kern w:val="2"/>
      <w:sz w:val="18"/>
      <w:szCs w:val="18"/>
    </w:rPr>
  </w:style>
  <w:style w:type="character" w:customStyle="1" w:styleId="ab">
    <w:name w:val="页脚 字符"/>
    <w:link w:val="aa"/>
    <w:uiPriority w:val="99"/>
    <w:rPr>
      <w:sz w:val="18"/>
      <w:szCs w:val="18"/>
    </w:rPr>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character" w:customStyle="1" w:styleId="10">
    <w:name w:val="标题 1 字符"/>
    <w:link w:val="1"/>
    <w:uiPriority w:val="9"/>
    <w:rPr>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19644</Words>
  <Characters>111977</Characters>
  <Application>Microsoft Office Word</Application>
  <DocSecurity>4</DocSecurity>
  <Lines>933</Lines>
  <Paragraphs>262</Paragraphs>
  <ScaleCrop>false</ScaleCrop>
  <Company>Microsoft</Company>
  <LinksUpToDate>false</LinksUpToDate>
  <CharactersWithSpaces>131359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Windows 用户</cp:lastModifiedBy>
  <cp:revision>2</cp:revision>
  <cp:lastPrinted>2013-02-18T03:10:00Z</cp:lastPrinted>
  <dcterms:created xsi:type="dcterms:W3CDTF">2026-01-08T07:38:00Z</dcterms:created>
  <dcterms:modified xsi:type="dcterms:W3CDTF">2026-01-08T07:38:00Z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